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D6C0E" w14:textId="26513B46" w:rsidR="00E203C2" w:rsidRDefault="00E203C2" w:rsidP="00BE3661">
      <w:pPr>
        <w:widowControl/>
      </w:pPr>
      <w:r>
        <w:rPr>
          <w:noProof/>
          <w:lang w:eastAsia="en-GB" w:bidi="ar-SA"/>
        </w:rPr>
        <w:drawing>
          <wp:inline distT="0" distB="0" distL="0" distR="0" wp14:anchorId="3771E020" wp14:editId="155BA63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4A6F6F5" w14:textId="77777777" w:rsidR="00E203C2" w:rsidRDefault="00E203C2" w:rsidP="00BE3661">
      <w:pPr>
        <w:widowControl/>
      </w:pPr>
    </w:p>
    <w:p w14:paraId="645CCC60" w14:textId="41B87644" w:rsidR="00BA24E2" w:rsidRPr="00F125A7" w:rsidRDefault="00F125A7" w:rsidP="00BE3661">
      <w:pPr>
        <w:widowControl/>
        <w:rPr>
          <w:b/>
          <w:sz w:val="28"/>
          <w:szCs w:val="28"/>
        </w:rPr>
      </w:pPr>
      <w:bookmarkStart w:id="0" w:name="_GoBack"/>
      <w:r w:rsidRPr="00F125A7">
        <w:rPr>
          <w:b/>
          <w:sz w:val="28"/>
          <w:szCs w:val="28"/>
        </w:rPr>
        <w:t>3</w:t>
      </w:r>
      <w:r w:rsidR="00BA24E2" w:rsidRPr="00F125A7">
        <w:rPr>
          <w:b/>
          <w:sz w:val="28"/>
          <w:szCs w:val="28"/>
        </w:rPr>
        <w:t xml:space="preserve"> </w:t>
      </w:r>
      <w:r w:rsidRPr="00F125A7">
        <w:rPr>
          <w:b/>
          <w:sz w:val="28"/>
          <w:szCs w:val="28"/>
        </w:rPr>
        <w:t>August 2017</w:t>
      </w:r>
    </w:p>
    <w:p w14:paraId="571961A1" w14:textId="2209055A" w:rsidR="00BA24E2" w:rsidRPr="00F125A7" w:rsidRDefault="00BA24E2" w:rsidP="00BE3661">
      <w:pPr>
        <w:widowControl/>
        <w:rPr>
          <w:b/>
          <w:sz w:val="28"/>
          <w:szCs w:val="28"/>
        </w:rPr>
      </w:pPr>
      <w:r w:rsidRPr="00F125A7">
        <w:rPr>
          <w:b/>
          <w:sz w:val="28"/>
          <w:szCs w:val="28"/>
        </w:rPr>
        <w:t>[</w:t>
      </w:r>
      <w:r w:rsidR="00F125A7" w:rsidRPr="00F125A7">
        <w:rPr>
          <w:b/>
          <w:sz w:val="28"/>
          <w:szCs w:val="28"/>
        </w:rPr>
        <w:t>20</w:t>
      </w:r>
      <w:r w:rsidR="00CA7F35" w:rsidRPr="00F125A7">
        <w:rPr>
          <w:b/>
          <w:sz w:val="28"/>
          <w:szCs w:val="28"/>
        </w:rPr>
        <w:t>–</w:t>
      </w:r>
      <w:r w:rsidRPr="00F125A7">
        <w:rPr>
          <w:b/>
          <w:sz w:val="28"/>
          <w:szCs w:val="28"/>
        </w:rPr>
        <w:t>1</w:t>
      </w:r>
      <w:r w:rsidR="00F125A7" w:rsidRPr="00F125A7">
        <w:rPr>
          <w:b/>
          <w:sz w:val="28"/>
          <w:szCs w:val="28"/>
        </w:rPr>
        <w:t>7</w:t>
      </w:r>
      <w:r w:rsidRPr="00F125A7">
        <w:rPr>
          <w:b/>
          <w:sz w:val="28"/>
          <w:szCs w:val="28"/>
        </w:rPr>
        <w:t>]</w:t>
      </w:r>
    </w:p>
    <w:bookmarkEnd w:id="0"/>
    <w:p w14:paraId="03C346C4" w14:textId="77777777" w:rsidR="00BA24E2" w:rsidRDefault="00BA24E2" w:rsidP="00BE3661">
      <w:pPr>
        <w:widowControl/>
      </w:pPr>
    </w:p>
    <w:p w14:paraId="757E888B" w14:textId="77777777" w:rsidR="00D056F1" w:rsidRPr="00E03893" w:rsidRDefault="000427B2" w:rsidP="00BE3661">
      <w:pPr>
        <w:pStyle w:val="FSTitle"/>
        <w:widowControl/>
        <w:rPr>
          <w:b/>
          <w:color w:val="000000" w:themeColor="text1"/>
        </w:rPr>
      </w:pPr>
      <w:r w:rsidRPr="00E03893">
        <w:rPr>
          <w:b/>
          <w:color w:val="000000" w:themeColor="text1"/>
        </w:rPr>
        <w:t>C</w:t>
      </w:r>
      <w:r w:rsidR="00D8470F" w:rsidRPr="00E03893">
        <w:rPr>
          <w:b/>
          <w:color w:val="000000" w:themeColor="text1"/>
        </w:rPr>
        <w:t>all</w:t>
      </w:r>
      <w:r w:rsidRPr="00E03893">
        <w:rPr>
          <w:b/>
          <w:color w:val="000000" w:themeColor="text1"/>
        </w:rPr>
        <w:t xml:space="preserve"> </w:t>
      </w:r>
      <w:r w:rsidR="00D8470F" w:rsidRPr="00E03893">
        <w:rPr>
          <w:b/>
          <w:color w:val="000000" w:themeColor="text1"/>
        </w:rPr>
        <w:t>for</w:t>
      </w:r>
      <w:r w:rsidRPr="00E03893">
        <w:rPr>
          <w:b/>
          <w:color w:val="000000" w:themeColor="text1"/>
        </w:rPr>
        <w:t xml:space="preserve"> </w:t>
      </w:r>
      <w:r w:rsidR="00D8470F" w:rsidRPr="00E03893">
        <w:rPr>
          <w:b/>
          <w:color w:val="000000" w:themeColor="text1"/>
        </w:rPr>
        <w:t>submissions</w:t>
      </w:r>
      <w:r w:rsidRPr="00E03893">
        <w:rPr>
          <w:b/>
          <w:color w:val="000000" w:themeColor="text1"/>
        </w:rPr>
        <w:t xml:space="preserve"> – </w:t>
      </w:r>
      <w:r w:rsidR="00D056F1" w:rsidRPr="00E03893">
        <w:rPr>
          <w:b/>
          <w:color w:val="000000" w:themeColor="text1"/>
        </w:rPr>
        <w:t>A</w:t>
      </w:r>
      <w:r w:rsidR="00E03893" w:rsidRPr="00E03893">
        <w:rPr>
          <w:b/>
          <w:color w:val="000000" w:themeColor="text1"/>
        </w:rPr>
        <w:t>pplication A1138</w:t>
      </w:r>
    </w:p>
    <w:p w14:paraId="1249374F" w14:textId="77777777" w:rsidR="00E203C2" w:rsidRPr="00E03893" w:rsidRDefault="00E203C2" w:rsidP="00BE3661">
      <w:pPr>
        <w:widowControl/>
        <w:rPr>
          <w:color w:val="000000" w:themeColor="text1"/>
        </w:rPr>
      </w:pPr>
    </w:p>
    <w:p w14:paraId="1DDB7A17" w14:textId="77777777" w:rsidR="00D056F1" w:rsidRPr="00E03893" w:rsidRDefault="00E03893" w:rsidP="00BE3661">
      <w:pPr>
        <w:pStyle w:val="FSTitle"/>
        <w:widowControl/>
        <w:rPr>
          <w:color w:val="000000" w:themeColor="text1"/>
        </w:rPr>
      </w:pPr>
      <w:r w:rsidRPr="00E03893">
        <w:rPr>
          <w:color w:val="000000" w:themeColor="text1"/>
        </w:rPr>
        <w:t xml:space="preserve">Food derived from Provitamin </w:t>
      </w:r>
      <w:proofErr w:type="gramStart"/>
      <w:r w:rsidRPr="00E03893">
        <w:rPr>
          <w:color w:val="000000" w:themeColor="text1"/>
        </w:rPr>
        <w:t>A</w:t>
      </w:r>
      <w:proofErr w:type="gramEnd"/>
      <w:r w:rsidRPr="00E03893">
        <w:rPr>
          <w:color w:val="000000" w:themeColor="text1"/>
        </w:rPr>
        <w:t xml:space="preserve"> Rice Line GR2E</w:t>
      </w:r>
    </w:p>
    <w:p w14:paraId="07E7742A" w14:textId="77777777" w:rsidR="00E203C2" w:rsidRPr="00E03893" w:rsidRDefault="00E203C2" w:rsidP="00BE3661">
      <w:pPr>
        <w:widowControl/>
        <w:pBdr>
          <w:bottom w:val="single" w:sz="12" w:space="1" w:color="auto"/>
        </w:pBdr>
        <w:spacing w:line="280" w:lineRule="exact"/>
        <w:rPr>
          <w:rFonts w:cs="Arial"/>
          <w:bCs/>
          <w:color w:val="000000" w:themeColor="text1"/>
        </w:rPr>
      </w:pPr>
    </w:p>
    <w:p w14:paraId="55601E63" w14:textId="77777777" w:rsidR="00E203C2" w:rsidRPr="00E03893" w:rsidRDefault="00E203C2" w:rsidP="00BE3661">
      <w:pPr>
        <w:widowControl/>
        <w:rPr>
          <w:color w:val="000000" w:themeColor="text1"/>
        </w:rPr>
      </w:pPr>
    </w:p>
    <w:p w14:paraId="637A9F78" w14:textId="13AA2D48" w:rsidR="00E063C6" w:rsidRPr="00E03893" w:rsidRDefault="00E063C6" w:rsidP="00BE3661">
      <w:pPr>
        <w:widowControl/>
        <w:rPr>
          <w:color w:val="000000" w:themeColor="text1"/>
          <w:sz w:val="20"/>
          <w:szCs w:val="20"/>
        </w:rPr>
      </w:pPr>
      <w:r w:rsidRPr="00E03893">
        <w:rPr>
          <w:color w:val="000000" w:themeColor="text1"/>
          <w:sz w:val="20"/>
          <w:szCs w:val="20"/>
        </w:rPr>
        <w:t xml:space="preserve">FSANZ </w:t>
      </w:r>
      <w:r w:rsidR="00D81D38" w:rsidRPr="00E03893">
        <w:rPr>
          <w:color w:val="000000" w:themeColor="text1"/>
          <w:sz w:val="20"/>
          <w:szCs w:val="20"/>
        </w:rPr>
        <w:t>has assessed an A</w:t>
      </w:r>
      <w:r w:rsidR="00351B07" w:rsidRPr="00E03893">
        <w:rPr>
          <w:color w:val="000000" w:themeColor="text1"/>
          <w:sz w:val="20"/>
          <w:szCs w:val="20"/>
        </w:rPr>
        <w:t xml:space="preserve">pplication made by </w:t>
      </w:r>
      <w:r w:rsidR="00E03893" w:rsidRPr="00E03893">
        <w:rPr>
          <w:color w:val="000000" w:themeColor="text1"/>
          <w:sz w:val="20"/>
          <w:szCs w:val="20"/>
        </w:rPr>
        <w:t>the International Rice Research Institute</w:t>
      </w:r>
      <w:r w:rsidR="00351B07" w:rsidRPr="00E03893">
        <w:rPr>
          <w:color w:val="000000" w:themeColor="text1"/>
          <w:sz w:val="20"/>
          <w:szCs w:val="20"/>
        </w:rPr>
        <w:t xml:space="preserve"> </w:t>
      </w:r>
      <w:r w:rsidR="007C174F" w:rsidRPr="00E03893">
        <w:rPr>
          <w:color w:val="000000" w:themeColor="text1"/>
          <w:sz w:val="20"/>
          <w:szCs w:val="20"/>
        </w:rPr>
        <w:t>to</w:t>
      </w:r>
      <w:r w:rsidR="00E03893" w:rsidRPr="00E03893">
        <w:rPr>
          <w:color w:val="000000" w:themeColor="text1"/>
          <w:sz w:val="20"/>
          <w:szCs w:val="20"/>
        </w:rPr>
        <w:t xml:space="preserve"> seek approval for food derived from rice line GR2E genetically modified to </w:t>
      </w:r>
      <w:r w:rsidR="00E01E1A">
        <w:rPr>
          <w:color w:val="000000" w:themeColor="text1"/>
          <w:sz w:val="20"/>
          <w:szCs w:val="20"/>
        </w:rPr>
        <w:t>produce</w:t>
      </w:r>
      <w:r w:rsidR="00E03893" w:rsidRPr="00E03893">
        <w:rPr>
          <w:color w:val="000000" w:themeColor="text1"/>
          <w:sz w:val="20"/>
          <w:szCs w:val="20"/>
        </w:rPr>
        <w:t xml:space="preserve"> provitamin A in the grain. A</w:t>
      </w:r>
      <w:r w:rsidR="00413CA8" w:rsidRPr="00E03893">
        <w:rPr>
          <w:color w:val="000000" w:themeColor="text1"/>
          <w:sz w:val="20"/>
          <w:szCs w:val="20"/>
        </w:rPr>
        <w:t xml:space="preserve"> draft </w:t>
      </w:r>
      <w:r w:rsidR="00D8470F" w:rsidRPr="00E03893">
        <w:rPr>
          <w:color w:val="000000" w:themeColor="text1"/>
          <w:sz w:val="20"/>
          <w:szCs w:val="20"/>
        </w:rPr>
        <w:t>food regulatory measure</w:t>
      </w:r>
      <w:r w:rsidR="00E03893" w:rsidRPr="00E03893">
        <w:rPr>
          <w:color w:val="000000" w:themeColor="text1"/>
          <w:sz w:val="20"/>
          <w:szCs w:val="20"/>
        </w:rPr>
        <w:t xml:space="preserve"> has been prepared and,</w:t>
      </w:r>
      <w:r w:rsidR="00351B07" w:rsidRPr="00E03893">
        <w:rPr>
          <w:color w:val="000000" w:themeColor="text1"/>
          <w:sz w:val="20"/>
          <w:szCs w:val="20"/>
        </w:rPr>
        <w:t xml:space="preserve"> </w:t>
      </w:r>
      <w:r w:rsidR="00E03893" w:rsidRPr="00E03893">
        <w:rPr>
          <w:color w:val="000000" w:themeColor="text1"/>
          <w:sz w:val="20"/>
          <w:szCs w:val="20"/>
        </w:rPr>
        <w:t>p</w:t>
      </w:r>
      <w:r w:rsidR="00D22F3C" w:rsidRPr="00E03893">
        <w:rPr>
          <w:color w:val="000000" w:themeColor="text1"/>
          <w:sz w:val="20"/>
          <w:szCs w:val="20"/>
        </w:rPr>
        <w:t xml:space="preserve">ursuant to section 31 of the </w:t>
      </w:r>
      <w:r w:rsidR="00D22F3C" w:rsidRPr="00E03893">
        <w:rPr>
          <w:i/>
          <w:color w:val="000000" w:themeColor="text1"/>
          <w:sz w:val="20"/>
          <w:szCs w:val="20"/>
        </w:rPr>
        <w:t>Food Standard</w:t>
      </w:r>
      <w:r w:rsidR="00E203C2" w:rsidRPr="00E03893">
        <w:rPr>
          <w:i/>
          <w:color w:val="000000" w:themeColor="text1"/>
          <w:sz w:val="20"/>
          <w:szCs w:val="20"/>
        </w:rPr>
        <w:t>s Australia New Zealand Act 1991</w:t>
      </w:r>
      <w:r w:rsidR="00D22F3C" w:rsidRPr="00E03893">
        <w:rPr>
          <w:i/>
          <w:color w:val="000000" w:themeColor="text1"/>
          <w:sz w:val="20"/>
          <w:szCs w:val="20"/>
        </w:rPr>
        <w:t xml:space="preserve"> </w:t>
      </w:r>
      <w:r w:rsidR="00E203C2" w:rsidRPr="00E03893">
        <w:rPr>
          <w:color w:val="000000" w:themeColor="text1"/>
          <w:sz w:val="20"/>
          <w:szCs w:val="20"/>
        </w:rPr>
        <w:t>(</w:t>
      </w:r>
      <w:r w:rsidR="00D22F3C" w:rsidRPr="00E03893">
        <w:rPr>
          <w:color w:val="000000" w:themeColor="text1"/>
          <w:sz w:val="20"/>
          <w:szCs w:val="20"/>
        </w:rPr>
        <w:t>FSANZ Act), FSANZ now c</w:t>
      </w:r>
      <w:r w:rsidR="00E203C2" w:rsidRPr="00E03893">
        <w:rPr>
          <w:color w:val="000000" w:themeColor="text1"/>
          <w:sz w:val="20"/>
          <w:szCs w:val="20"/>
        </w:rPr>
        <w:t xml:space="preserve">alls for submissions to assist consideration of the </w:t>
      </w:r>
      <w:r w:rsidR="00413CA8" w:rsidRPr="00E03893">
        <w:rPr>
          <w:color w:val="000000" w:themeColor="text1"/>
          <w:sz w:val="20"/>
          <w:szCs w:val="20"/>
        </w:rPr>
        <w:t xml:space="preserve">draft </w:t>
      </w:r>
      <w:r w:rsidR="00D8470F" w:rsidRPr="00E03893">
        <w:rPr>
          <w:color w:val="000000" w:themeColor="text1"/>
          <w:sz w:val="20"/>
          <w:szCs w:val="20"/>
        </w:rPr>
        <w:t>food regulatory measure</w:t>
      </w:r>
      <w:r w:rsidR="00D22F3C" w:rsidRPr="00E03893">
        <w:rPr>
          <w:color w:val="000000" w:themeColor="text1"/>
          <w:sz w:val="20"/>
          <w:szCs w:val="20"/>
        </w:rPr>
        <w:t>.</w:t>
      </w:r>
    </w:p>
    <w:p w14:paraId="7244A0D2" w14:textId="77777777" w:rsidR="00413CA8" w:rsidRPr="007C174F" w:rsidRDefault="00413CA8" w:rsidP="00BE3661">
      <w:pPr>
        <w:widowControl/>
        <w:rPr>
          <w:sz w:val="20"/>
          <w:szCs w:val="20"/>
        </w:rPr>
      </w:pPr>
    </w:p>
    <w:p w14:paraId="4DDA9D83" w14:textId="77777777" w:rsidR="00351B07" w:rsidRDefault="00A91DF1" w:rsidP="00BE3661">
      <w:pPr>
        <w:widowControl/>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56D982C8" w14:textId="77777777" w:rsidR="00D81D38" w:rsidRPr="00276026" w:rsidRDefault="00D81D38" w:rsidP="00BE3661">
      <w:pPr>
        <w:widowControl/>
        <w:rPr>
          <w:sz w:val="20"/>
          <w:szCs w:val="20"/>
        </w:rPr>
      </w:pPr>
    </w:p>
    <w:p w14:paraId="717B047A" w14:textId="6482595D" w:rsidR="00276026" w:rsidRPr="00276026" w:rsidRDefault="00276026" w:rsidP="00BE3661">
      <w:pPr>
        <w:widowControl/>
        <w:ind w:right="-428"/>
        <w:rPr>
          <w:sz w:val="20"/>
          <w:szCs w:val="20"/>
        </w:rPr>
      </w:pPr>
      <w:r w:rsidRPr="00276026">
        <w:rPr>
          <w:sz w:val="20"/>
          <w:szCs w:val="20"/>
        </w:rPr>
        <w:t>All submissions on applications and proposals will be published on our website. We</w:t>
      </w:r>
      <w:r w:rsidR="002A4CF1">
        <w:rPr>
          <w:sz w:val="20"/>
          <w:szCs w:val="20"/>
        </w:rPr>
        <w:t xml:space="preserve"> will not publish material that</w:t>
      </w:r>
      <w:r w:rsidR="00901EF6">
        <w:rPr>
          <w:sz w:val="20"/>
          <w:szCs w:val="20"/>
        </w:rPr>
        <w:t xml:space="preserve">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767A3A6" w14:textId="77777777" w:rsidR="00876515" w:rsidRPr="00276026" w:rsidRDefault="00876515" w:rsidP="00BE3661">
      <w:pPr>
        <w:widowControl/>
        <w:rPr>
          <w:color w:val="000000"/>
          <w:sz w:val="20"/>
          <w:szCs w:val="20"/>
          <w:lang w:val="en-AU"/>
        </w:rPr>
      </w:pPr>
    </w:p>
    <w:p w14:paraId="7DFDDD5C" w14:textId="77777777" w:rsidR="00E203C2" w:rsidRPr="007C174F" w:rsidRDefault="00AD22F9" w:rsidP="00BE3661">
      <w:pPr>
        <w:widowControl/>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0F220C42" w14:textId="77777777" w:rsidR="00E203C2" w:rsidRPr="007C174F" w:rsidRDefault="00E203C2" w:rsidP="00BE3661">
      <w:pPr>
        <w:widowControl/>
        <w:rPr>
          <w:color w:val="000000"/>
          <w:sz w:val="20"/>
          <w:szCs w:val="20"/>
          <w:lang w:val="en-AU"/>
        </w:rPr>
      </w:pPr>
    </w:p>
    <w:p w14:paraId="283D00CB" w14:textId="77777777" w:rsidR="00351B07" w:rsidRPr="007C174F" w:rsidRDefault="00E063C6" w:rsidP="00BE3661">
      <w:pPr>
        <w:widowControl/>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475423CB" w14:textId="77777777" w:rsidR="00E203C2" w:rsidRPr="007C174F" w:rsidRDefault="00E203C2" w:rsidP="00BE3661">
      <w:pPr>
        <w:widowControl/>
        <w:rPr>
          <w:color w:val="000000"/>
          <w:sz w:val="20"/>
          <w:szCs w:val="20"/>
          <w:lang w:val="en-AU"/>
        </w:rPr>
      </w:pPr>
    </w:p>
    <w:p w14:paraId="01EDF77E" w14:textId="77777777" w:rsidR="00E063C6" w:rsidRPr="007C174F" w:rsidRDefault="00E063C6" w:rsidP="00BE3661">
      <w:pPr>
        <w:widowControl/>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13C60F6" w14:textId="77777777" w:rsidR="00E203C2" w:rsidRPr="00D676CF" w:rsidRDefault="00E203C2" w:rsidP="00BE3661">
      <w:pPr>
        <w:widowControl/>
        <w:rPr>
          <w:color w:val="000000"/>
          <w:sz w:val="20"/>
          <w:lang w:val="en-AU"/>
        </w:rPr>
      </w:pPr>
    </w:p>
    <w:p w14:paraId="24607C16" w14:textId="155AFE32" w:rsidR="00E063C6" w:rsidRPr="00FB1533" w:rsidRDefault="00E063C6" w:rsidP="00BE3661">
      <w:pPr>
        <w:widowControl/>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F125A7" w:rsidRPr="00F125A7">
        <w:rPr>
          <w:rFonts w:cs="Arial"/>
          <w:b/>
          <w:bCs/>
          <w:sz w:val="24"/>
        </w:rPr>
        <w:t>14 September 2017</w:t>
      </w:r>
    </w:p>
    <w:p w14:paraId="248523BF" w14:textId="77777777" w:rsidR="00E203C2" w:rsidRPr="007C174F" w:rsidRDefault="00E203C2" w:rsidP="00BE3661">
      <w:pPr>
        <w:widowControl/>
        <w:rPr>
          <w:sz w:val="20"/>
          <w:szCs w:val="20"/>
          <w:lang w:val="en-AU"/>
        </w:rPr>
      </w:pPr>
    </w:p>
    <w:p w14:paraId="22B9225E" w14:textId="77777777" w:rsidR="00E063C6" w:rsidRPr="007C174F" w:rsidRDefault="00E063C6" w:rsidP="00BE3661">
      <w:pPr>
        <w:widowControl/>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33682AAB" w14:textId="77777777" w:rsidR="00E203C2" w:rsidRPr="007C174F" w:rsidRDefault="00E203C2" w:rsidP="00BE3661">
      <w:pPr>
        <w:widowControl/>
        <w:rPr>
          <w:sz w:val="20"/>
          <w:szCs w:val="20"/>
          <w:lang w:val="en-AU"/>
        </w:rPr>
      </w:pPr>
    </w:p>
    <w:p w14:paraId="3E39B6A4" w14:textId="77777777" w:rsidR="00E063C6" w:rsidRPr="007C174F" w:rsidRDefault="0037520F" w:rsidP="00BE3661">
      <w:pPr>
        <w:widowControl/>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47208739" w14:textId="77777777" w:rsidR="00E203C2" w:rsidRPr="003A7725" w:rsidRDefault="00E203C2" w:rsidP="00BE3661">
      <w:pPr>
        <w:widowControl/>
        <w:rPr>
          <w:sz w:val="20"/>
          <w:lang w:val="en-AU"/>
        </w:rPr>
      </w:pPr>
    </w:p>
    <w:p w14:paraId="45F060C9" w14:textId="77777777" w:rsidR="00E063C6" w:rsidRPr="007C174F" w:rsidRDefault="00351B07" w:rsidP="00BE3661">
      <w:pPr>
        <w:widowControl/>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1BDD902" w14:textId="77777777" w:rsidR="00E203C2" w:rsidRPr="007C174F" w:rsidRDefault="00E203C2" w:rsidP="00BE3661">
      <w:pPr>
        <w:widowControl/>
        <w:rPr>
          <w:sz w:val="20"/>
          <w:szCs w:val="20"/>
          <w:lang w:val="en-AU"/>
        </w:rPr>
      </w:pPr>
    </w:p>
    <w:p w14:paraId="5B3B0155" w14:textId="77777777" w:rsidR="00E203C2" w:rsidRPr="007C174F" w:rsidRDefault="00E063C6" w:rsidP="00BE3661">
      <w:pPr>
        <w:widowControl/>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1AF1165" w14:textId="77777777" w:rsidR="00E203C2" w:rsidRPr="007C174F" w:rsidRDefault="00E063C6" w:rsidP="00BE3661">
      <w:pPr>
        <w:widowControl/>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343AF84E" w14:textId="77777777" w:rsidR="00E203C2" w:rsidRPr="007C174F" w:rsidRDefault="00685269" w:rsidP="00BE3661">
      <w:pPr>
        <w:widowControl/>
        <w:tabs>
          <w:tab w:val="left" w:pos="4536"/>
        </w:tabs>
        <w:rPr>
          <w:sz w:val="20"/>
          <w:szCs w:val="20"/>
        </w:rPr>
      </w:pPr>
      <w:proofErr w:type="gramStart"/>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55548D0C" w14:textId="77777777" w:rsidR="00E063C6" w:rsidRPr="007C174F" w:rsidRDefault="00E063C6" w:rsidP="00BE3661">
      <w:pPr>
        <w:widowControl/>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27B3E57F" w14:textId="77777777" w:rsidR="00413CA8" w:rsidRDefault="00E063C6" w:rsidP="00BE3661">
      <w:pPr>
        <w:widowControl/>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3B77EE56" w14:textId="77777777" w:rsidR="00413CA8" w:rsidRDefault="00413CA8" w:rsidP="00BE3661">
      <w:pPr>
        <w:widowControl/>
        <w:spacing w:line="280" w:lineRule="exact"/>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02FF31BD" w14:textId="77777777" w:rsidR="00562917" w:rsidRPr="00646FDD" w:rsidRDefault="00562917" w:rsidP="00BE3661">
      <w:pPr>
        <w:widowControl/>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1323C0A2" w14:textId="77777777" w:rsidR="00562917" w:rsidRPr="00AE766D" w:rsidRDefault="00562917" w:rsidP="00BE3661">
      <w:pPr>
        <w:widowControl/>
        <w:rPr>
          <w:rFonts w:cs="Arial"/>
        </w:rPr>
      </w:pPr>
    </w:p>
    <w:p w14:paraId="7FA1B0DB" w14:textId="001A78FC" w:rsidR="00F5657B"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88316675" w:history="1">
        <w:r w:rsidR="00F5657B" w:rsidRPr="001E4526">
          <w:rPr>
            <w:rStyle w:val="Hyperlink"/>
            <w:noProof/>
          </w:rPr>
          <w:t>Executive summary</w:t>
        </w:r>
        <w:r w:rsidR="00F5657B">
          <w:rPr>
            <w:noProof/>
            <w:webHidden/>
          </w:rPr>
          <w:tab/>
        </w:r>
        <w:r w:rsidR="00F5657B">
          <w:rPr>
            <w:noProof/>
            <w:webHidden/>
          </w:rPr>
          <w:fldChar w:fldCharType="begin"/>
        </w:r>
        <w:r w:rsidR="00F5657B">
          <w:rPr>
            <w:noProof/>
            <w:webHidden/>
          </w:rPr>
          <w:instrText xml:space="preserve"> PAGEREF _Toc488316675 \h </w:instrText>
        </w:r>
        <w:r w:rsidR="00F5657B">
          <w:rPr>
            <w:noProof/>
            <w:webHidden/>
          </w:rPr>
        </w:r>
        <w:r w:rsidR="00F5657B">
          <w:rPr>
            <w:noProof/>
            <w:webHidden/>
          </w:rPr>
          <w:fldChar w:fldCharType="separate"/>
        </w:r>
        <w:r w:rsidR="00F57280">
          <w:rPr>
            <w:noProof/>
            <w:webHidden/>
          </w:rPr>
          <w:t>2</w:t>
        </w:r>
        <w:r w:rsidR="00F5657B">
          <w:rPr>
            <w:noProof/>
            <w:webHidden/>
          </w:rPr>
          <w:fldChar w:fldCharType="end"/>
        </w:r>
      </w:hyperlink>
    </w:p>
    <w:p w14:paraId="790AB3E5" w14:textId="6CAA1D09" w:rsidR="00F5657B" w:rsidRDefault="00F5728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8316676" w:history="1">
        <w:r w:rsidR="00F5657B" w:rsidRPr="001E4526">
          <w:rPr>
            <w:rStyle w:val="Hyperlink"/>
            <w:noProof/>
          </w:rPr>
          <w:t>1</w:t>
        </w:r>
        <w:r w:rsidR="00F5657B">
          <w:rPr>
            <w:rFonts w:eastAsiaTheme="minorEastAsia" w:cstheme="minorBidi"/>
            <w:b w:val="0"/>
            <w:bCs w:val="0"/>
            <w:caps w:val="0"/>
            <w:noProof/>
            <w:sz w:val="22"/>
            <w:szCs w:val="22"/>
            <w:lang w:eastAsia="en-GB" w:bidi="ar-SA"/>
          </w:rPr>
          <w:tab/>
        </w:r>
        <w:r w:rsidR="00F5657B" w:rsidRPr="001E4526">
          <w:rPr>
            <w:rStyle w:val="Hyperlink"/>
            <w:noProof/>
          </w:rPr>
          <w:t>Introduction</w:t>
        </w:r>
        <w:r w:rsidR="00F5657B">
          <w:rPr>
            <w:noProof/>
            <w:webHidden/>
          </w:rPr>
          <w:tab/>
        </w:r>
        <w:r w:rsidR="00F5657B">
          <w:rPr>
            <w:noProof/>
            <w:webHidden/>
          </w:rPr>
          <w:fldChar w:fldCharType="begin"/>
        </w:r>
        <w:r w:rsidR="00F5657B">
          <w:rPr>
            <w:noProof/>
            <w:webHidden/>
          </w:rPr>
          <w:instrText xml:space="preserve"> PAGEREF _Toc488316676 \h </w:instrText>
        </w:r>
        <w:r w:rsidR="00F5657B">
          <w:rPr>
            <w:noProof/>
            <w:webHidden/>
          </w:rPr>
        </w:r>
        <w:r w:rsidR="00F5657B">
          <w:rPr>
            <w:noProof/>
            <w:webHidden/>
          </w:rPr>
          <w:fldChar w:fldCharType="separate"/>
        </w:r>
        <w:r>
          <w:rPr>
            <w:noProof/>
            <w:webHidden/>
          </w:rPr>
          <w:t>3</w:t>
        </w:r>
        <w:r w:rsidR="00F5657B">
          <w:rPr>
            <w:noProof/>
            <w:webHidden/>
          </w:rPr>
          <w:fldChar w:fldCharType="end"/>
        </w:r>
      </w:hyperlink>
    </w:p>
    <w:p w14:paraId="2AA45F97" w14:textId="19BC2DC7" w:rsidR="00F5657B" w:rsidRDefault="00F57280">
      <w:pPr>
        <w:pStyle w:val="TOC2"/>
        <w:tabs>
          <w:tab w:val="left" w:pos="880"/>
          <w:tab w:val="right" w:leader="dot" w:pos="9060"/>
        </w:tabs>
        <w:rPr>
          <w:rFonts w:eastAsiaTheme="minorEastAsia" w:cstheme="minorBidi"/>
          <w:smallCaps w:val="0"/>
          <w:noProof/>
          <w:sz w:val="22"/>
          <w:szCs w:val="22"/>
          <w:lang w:eastAsia="en-GB" w:bidi="ar-SA"/>
        </w:rPr>
      </w:pPr>
      <w:hyperlink w:anchor="_Toc488316677" w:history="1">
        <w:r w:rsidR="00F5657B" w:rsidRPr="001E4526">
          <w:rPr>
            <w:rStyle w:val="Hyperlink"/>
            <w:noProof/>
          </w:rPr>
          <w:t>1.1</w:t>
        </w:r>
        <w:r w:rsidR="00F5657B">
          <w:rPr>
            <w:rFonts w:eastAsiaTheme="minorEastAsia" w:cstheme="minorBidi"/>
            <w:smallCaps w:val="0"/>
            <w:noProof/>
            <w:sz w:val="22"/>
            <w:szCs w:val="22"/>
            <w:lang w:eastAsia="en-GB" w:bidi="ar-SA"/>
          </w:rPr>
          <w:tab/>
        </w:r>
        <w:r w:rsidR="00F5657B" w:rsidRPr="001E4526">
          <w:rPr>
            <w:rStyle w:val="Hyperlink"/>
            <w:noProof/>
          </w:rPr>
          <w:t>The Applicant</w:t>
        </w:r>
        <w:r w:rsidR="00F5657B">
          <w:rPr>
            <w:noProof/>
            <w:webHidden/>
          </w:rPr>
          <w:tab/>
        </w:r>
        <w:r w:rsidR="00F5657B">
          <w:rPr>
            <w:noProof/>
            <w:webHidden/>
          </w:rPr>
          <w:fldChar w:fldCharType="begin"/>
        </w:r>
        <w:r w:rsidR="00F5657B">
          <w:rPr>
            <w:noProof/>
            <w:webHidden/>
          </w:rPr>
          <w:instrText xml:space="preserve"> PAGEREF _Toc488316677 \h </w:instrText>
        </w:r>
        <w:r w:rsidR="00F5657B">
          <w:rPr>
            <w:noProof/>
            <w:webHidden/>
          </w:rPr>
        </w:r>
        <w:r w:rsidR="00F5657B">
          <w:rPr>
            <w:noProof/>
            <w:webHidden/>
          </w:rPr>
          <w:fldChar w:fldCharType="separate"/>
        </w:r>
        <w:r>
          <w:rPr>
            <w:noProof/>
            <w:webHidden/>
          </w:rPr>
          <w:t>3</w:t>
        </w:r>
        <w:r w:rsidR="00F5657B">
          <w:rPr>
            <w:noProof/>
            <w:webHidden/>
          </w:rPr>
          <w:fldChar w:fldCharType="end"/>
        </w:r>
      </w:hyperlink>
    </w:p>
    <w:p w14:paraId="7EF3E005" w14:textId="02FBE792" w:rsidR="00F5657B" w:rsidRDefault="00F57280">
      <w:pPr>
        <w:pStyle w:val="TOC2"/>
        <w:tabs>
          <w:tab w:val="left" w:pos="880"/>
          <w:tab w:val="right" w:leader="dot" w:pos="9060"/>
        </w:tabs>
        <w:rPr>
          <w:rFonts w:eastAsiaTheme="minorEastAsia" w:cstheme="minorBidi"/>
          <w:smallCaps w:val="0"/>
          <w:noProof/>
          <w:sz w:val="22"/>
          <w:szCs w:val="22"/>
          <w:lang w:eastAsia="en-GB" w:bidi="ar-SA"/>
        </w:rPr>
      </w:pPr>
      <w:hyperlink w:anchor="_Toc488316678" w:history="1">
        <w:r w:rsidR="00F5657B" w:rsidRPr="001E4526">
          <w:rPr>
            <w:rStyle w:val="Hyperlink"/>
            <w:noProof/>
          </w:rPr>
          <w:t>1.2</w:t>
        </w:r>
        <w:r w:rsidR="00F5657B">
          <w:rPr>
            <w:rFonts w:eastAsiaTheme="minorEastAsia" w:cstheme="minorBidi"/>
            <w:smallCaps w:val="0"/>
            <w:noProof/>
            <w:sz w:val="22"/>
            <w:szCs w:val="22"/>
            <w:lang w:eastAsia="en-GB" w:bidi="ar-SA"/>
          </w:rPr>
          <w:tab/>
        </w:r>
        <w:r w:rsidR="00F5657B" w:rsidRPr="001E4526">
          <w:rPr>
            <w:rStyle w:val="Hyperlink"/>
            <w:noProof/>
          </w:rPr>
          <w:t>The Application</w:t>
        </w:r>
        <w:r w:rsidR="00F5657B">
          <w:rPr>
            <w:noProof/>
            <w:webHidden/>
          </w:rPr>
          <w:tab/>
        </w:r>
        <w:r w:rsidR="00F5657B">
          <w:rPr>
            <w:noProof/>
            <w:webHidden/>
          </w:rPr>
          <w:fldChar w:fldCharType="begin"/>
        </w:r>
        <w:r w:rsidR="00F5657B">
          <w:rPr>
            <w:noProof/>
            <w:webHidden/>
          </w:rPr>
          <w:instrText xml:space="preserve"> PAGEREF _Toc488316678 \h </w:instrText>
        </w:r>
        <w:r w:rsidR="00F5657B">
          <w:rPr>
            <w:noProof/>
            <w:webHidden/>
          </w:rPr>
        </w:r>
        <w:r w:rsidR="00F5657B">
          <w:rPr>
            <w:noProof/>
            <w:webHidden/>
          </w:rPr>
          <w:fldChar w:fldCharType="separate"/>
        </w:r>
        <w:r>
          <w:rPr>
            <w:noProof/>
            <w:webHidden/>
          </w:rPr>
          <w:t>3</w:t>
        </w:r>
        <w:r w:rsidR="00F5657B">
          <w:rPr>
            <w:noProof/>
            <w:webHidden/>
          </w:rPr>
          <w:fldChar w:fldCharType="end"/>
        </w:r>
      </w:hyperlink>
    </w:p>
    <w:p w14:paraId="6CE61A8C" w14:textId="45548199" w:rsidR="00F5657B" w:rsidRDefault="00F57280">
      <w:pPr>
        <w:pStyle w:val="TOC2"/>
        <w:tabs>
          <w:tab w:val="left" w:pos="880"/>
          <w:tab w:val="right" w:leader="dot" w:pos="9060"/>
        </w:tabs>
        <w:rPr>
          <w:rFonts w:eastAsiaTheme="minorEastAsia" w:cstheme="minorBidi"/>
          <w:smallCaps w:val="0"/>
          <w:noProof/>
          <w:sz w:val="22"/>
          <w:szCs w:val="22"/>
          <w:lang w:eastAsia="en-GB" w:bidi="ar-SA"/>
        </w:rPr>
      </w:pPr>
      <w:hyperlink w:anchor="_Toc488316679" w:history="1">
        <w:r w:rsidR="00F5657B" w:rsidRPr="001E4526">
          <w:rPr>
            <w:rStyle w:val="Hyperlink"/>
            <w:noProof/>
          </w:rPr>
          <w:t>1.3</w:t>
        </w:r>
        <w:r w:rsidR="00F5657B">
          <w:rPr>
            <w:rFonts w:eastAsiaTheme="minorEastAsia" w:cstheme="minorBidi"/>
            <w:smallCaps w:val="0"/>
            <w:noProof/>
            <w:sz w:val="22"/>
            <w:szCs w:val="22"/>
            <w:lang w:eastAsia="en-GB" w:bidi="ar-SA"/>
          </w:rPr>
          <w:tab/>
        </w:r>
        <w:r w:rsidR="00F5657B" w:rsidRPr="001E4526">
          <w:rPr>
            <w:rStyle w:val="Hyperlink"/>
            <w:noProof/>
          </w:rPr>
          <w:t>The current standards</w:t>
        </w:r>
        <w:r w:rsidR="00F5657B">
          <w:rPr>
            <w:noProof/>
            <w:webHidden/>
          </w:rPr>
          <w:tab/>
        </w:r>
        <w:r w:rsidR="00F5657B">
          <w:rPr>
            <w:noProof/>
            <w:webHidden/>
          </w:rPr>
          <w:fldChar w:fldCharType="begin"/>
        </w:r>
        <w:r w:rsidR="00F5657B">
          <w:rPr>
            <w:noProof/>
            <w:webHidden/>
          </w:rPr>
          <w:instrText xml:space="preserve"> PAGEREF _Toc488316679 \h </w:instrText>
        </w:r>
        <w:r w:rsidR="00F5657B">
          <w:rPr>
            <w:noProof/>
            <w:webHidden/>
          </w:rPr>
        </w:r>
        <w:r w:rsidR="00F5657B">
          <w:rPr>
            <w:noProof/>
            <w:webHidden/>
          </w:rPr>
          <w:fldChar w:fldCharType="separate"/>
        </w:r>
        <w:r>
          <w:rPr>
            <w:noProof/>
            <w:webHidden/>
          </w:rPr>
          <w:t>3</w:t>
        </w:r>
        <w:r w:rsidR="00F5657B">
          <w:rPr>
            <w:noProof/>
            <w:webHidden/>
          </w:rPr>
          <w:fldChar w:fldCharType="end"/>
        </w:r>
      </w:hyperlink>
    </w:p>
    <w:p w14:paraId="52955B14" w14:textId="5905CBDA" w:rsidR="00F5657B" w:rsidRDefault="00F57280">
      <w:pPr>
        <w:pStyle w:val="TOC2"/>
        <w:tabs>
          <w:tab w:val="left" w:pos="880"/>
          <w:tab w:val="right" w:leader="dot" w:pos="9060"/>
        </w:tabs>
        <w:rPr>
          <w:rFonts w:eastAsiaTheme="minorEastAsia" w:cstheme="minorBidi"/>
          <w:smallCaps w:val="0"/>
          <w:noProof/>
          <w:sz w:val="22"/>
          <w:szCs w:val="22"/>
          <w:lang w:eastAsia="en-GB" w:bidi="ar-SA"/>
        </w:rPr>
      </w:pPr>
      <w:hyperlink w:anchor="_Toc488316680" w:history="1">
        <w:r w:rsidR="00F5657B" w:rsidRPr="001E4526">
          <w:rPr>
            <w:rStyle w:val="Hyperlink"/>
            <w:noProof/>
            <w:u w:color="FFFF00"/>
          </w:rPr>
          <w:t>1.4</w:t>
        </w:r>
        <w:r w:rsidR="00F5657B">
          <w:rPr>
            <w:rFonts w:eastAsiaTheme="minorEastAsia" w:cstheme="minorBidi"/>
            <w:smallCaps w:val="0"/>
            <w:noProof/>
            <w:sz w:val="22"/>
            <w:szCs w:val="22"/>
            <w:lang w:eastAsia="en-GB" w:bidi="ar-SA"/>
          </w:rPr>
          <w:tab/>
        </w:r>
        <w:r w:rsidR="00F5657B" w:rsidRPr="001E4526">
          <w:rPr>
            <w:rStyle w:val="Hyperlink"/>
            <w:noProof/>
            <w:u w:color="FFFF00"/>
          </w:rPr>
          <w:t>Reasons for accepting Application</w:t>
        </w:r>
        <w:r w:rsidR="00F5657B">
          <w:rPr>
            <w:noProof/>
            <w:webHidden/>
          </w:rPr>
          <w:tab/>
        </w:r>
        <w:r w:rsidR="00F5657B">
          <w:rPr>
            <w:noProof/>
            <w:webHidden/>
          </w:rPr>
          <w:fldChar w:fldCharType="begin"/>
        </w:r>
        <w:r w:rsidR="00F5657B">
          <w:rPr>
            <w:noProof/>
            <w:webHidden/>
          </w:rPr>
          <w:instrText xml:space="preserve"> PAGEREF _Toc488316680 \h </w:instrText>
        </w:r>
        <w:r w:rsidR="00F5657B">
          <w:rPr>
            <w:noProof/>
            <w:webHidden/>
          </w:rPr>
        </w:r>
        <w:r w:rsidR="00F5657B">
          <w:rPr>
            <w:noProof/>
            <w:webHidden/>
          </w:rPr>
          <w:fldChar w:fldCharType="separate"/>
        </w:r>
        <w:r>
          <w:rPr>
            <w:noProof/>
            <w:webHidden/>
          </w:rPr>
          <w:t>4</w:t>
        </w:r>
        <w:r w:rsidR="00F5657B">
          <w:rPr>
            <w:noProof/>
            <w:webHidden/>
          </w:rPr>
          <w:fldChar w:fldCharType="end"/>
        </w:r>
      </w:hyperlink>
    </w:p>
    <w:p w14:paraId="46D3EF99" w14:textId="6072BFE7" w:rsidR="00F5657B" w:rsidRDefault="00F57280">
      <w:pPr>
        <w:pStyle w:val="TOC2"/>
        <w:tabs>
          <w:tab w:val="left" w:pos="880"/>
          <w:tab w:val="right" w:leader="dot" w:pos="9060"/>
        </w:tabs>
        <w:rPr>
          <w:rFonts w:eastAsiaTheme="minorEastAsia" w:cstheme="minorBidi"/>
          <w:smallCaps w:val="0"/>
          <w:noProof/>
          <w:sz w:val="22"/>
          <w:szCs w:val="22"/>
          <w:lang w:eastAsia="en-GB" w:bidi="ar-SA"/>
        </w:rPr>
      </w:pPr>
      <w:hyperlink w:anchor="_Toc488316681" w:history="1">
        <w:r w:rsidR="00F5657B" w:rsidRPr="001E4526">
          <w:rPr>
            <w:rStyle w:val="Hyperlink"/>
            <w:noProof/>
          </w:rPr>
          <w:t>1.5</w:t>
        </w:r>
        <w:r w:rsidR="00F5657B">
          <w:rPr>
            <w:rFonts w:eastAsiaTheme="minorEastAsia" w:cstheme="minorBidi"/>
            <w:smallCaps w:val="0"/>
            <w:noProof/>
            <w:sz w:val="22"/>
            <w:szCs w:val="22"/>
            <w:lang w:eastAsia="en-GB" w:bidi="ar-SA"/>
          </w:rPr>
          <w:tab/>
        </w:r>
        <w:r w:rsidR="00F5657B" w:rsidRPr="001E4526">
          <w:rPr>
            <w:rStyle w:val="Hyperlink"/>
            <w:noProof/>
          </w:rPr>
          <w:t>Procedure for assessment</w:t>
        </w:r>
        <w:r w:rsidR="00F5657B">
          <w:rPr>
            <w:noProof/>
            <w:webHidden/>
          </w:rPr>
          <w:tab/>
        </w:r>
        <w:r w:rsidR="00F5657B">
          <w:rPr>
            <w:noProof/>
            <w:webHidden/>
          </w:rPr>
          <w:fldChar w:fldCharType="begin"/>
        </w:r>
        <w:r w:rsidR="00F5657B">
          <w:rPr>
            <w:noProof/>
            <w:webHidden/>
          </w:rPr>
          <w:instrText xml:space="preserve"> PAGEREF _Toc488316681 \h </w:instrText>
        </w:r>
        <w:r w:rsidR="00F5657B">
          <w:rPr>
            <w:noProof/>
            <w:webHidden/>
          </w:rPr>
        </w:r>
        <w:r w:rsidR="00F5657B">
          <w:rPr>
            <w:noProof/>
            <w:webHidden/>
          </w:rPr>
          <w:fldChar w:fldCharType="separate"/>
        </w:r>
        <w:r>
          <w:rPr>
            <w:noProof/>
            <w:webHidden/>
          </w:rPr>
          <w:t>4</w:t>
        </w:r>
        <w:r w:rsidR="00F5657B">
          <w:rPr>
            <w:noProof/>
            <w:webHidden/>
          </w:rPr>
          <w:fldChar w:fldCharType="end"/>
        </w:r>
      </w:hyperlink>
    </w:p>
    <w:p w14:paraId="4B9B988C" w14:textId="7A5DC870" w:rsidR="00F5657B" w:rsidRDefault="00F5728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8316682" w:history="1">
        <w:r w:rsidR="00F5657B" w:rsidRPr="001E4526">
          <w:rPr>
            <w:rStyle w:val="Hyperlink"/>
            <w:noProof/>
          </w:rPr>
          <w:t>2</w:t>
        </w:r>
        <w:r w:rsidR="00F5657B">
          <w:rPr>
            <w:rFonts w:eastAsiaTheme="minorEastAsia" w:cstheme="minorBidi"/>
            <w:b w:val="0"/>
            <w:bCs w:val="0"/>
            <w:caps w:val="0"/>
            <w:noProof/>
            <w:sz w:val="22"/>
            <w:szCs w:val="22"/>
            <w:lang w:eastAsia="en-GB" w:bidi="ar-SA"/>
          </w:rPr>
          <w:tab/>
        </w:r>
        <w:r w:rsidR="00F5657B" w:rsidRPr="001E4526">
          <w:rPr>
            <w:rStyle w:val="Hyperlink"/>
            <w:noProof/>
          </w:rPr>
          <w:t>Summary of the assessment</w:t>
        </w:r>
        <w:r w:rsidR="00F5657B">
          <w:rPr>
            <w:noProof/>
            <w:webHidden/>
          </w:rPr>
          <w:tab/>
        </w:r>
        <w:r w:rsidR="00F5657B">
          <w:rPr>
            <w:noProof/>
            <w:webHidden/>
          </w:rPr>
          <w:fldChar w:fldCharType="begin"/>
        </w:r>
        <w:r w:rsidR="00F5657B">
          <w:rPr>
            <w:noProof/>
            <w:webHidden/>
          </w:rPr>
          <w:instrText xml:space="preserve"> PAGEREF _Toc488316682 \h </w:instrText>
        </w:r>
        <w:r w:rsidR="00F5657B">
          <w:rPr>
            <w:noProof/>
            <w:webHidden/>
          </w:rPr>
        </w:r>
        <w:r w:rsidR="00F5657B">
          <w:rPr>
            <w:noProof/>
            <w:webHidden/>
          </w:rPr>
          <w:fldChar w:fldCharType="separate"/>
        </w:r>
        <w:r>
          <w:rPr>
            <w:noProof/>
            <w:webHidden/>
          </w:rPr>
          <w:t>4</w:t>
        </w:r>
        <w:r w:rsidR="00F5657B">
          <w:rPr>
            <w:noProof/>
            <w:webHidden/>
          </w:rPr>
          <w:fldChar w:fldCharType="end"/>
        </w:r>
      </w:hyperlink>
    </w:p>
    <w:p w14:paraId="2B381624" w14:textId="66B046F5" w:rsidR="00F5657B" w:rsidRDefault="00F57280">
      <w:pPr>
        <w:pStyle w:val="TOC2"/>
        <w:tabs>
          <w:tab w:val="left" w:pos="880"/>
          <w:tab w:val="right" w:leader="dot" w:pos="9060"/>
        </w:tabs>
        <w:rPr>
          <w:rFonts w:eastAsiaTheme="minorEastAsia" w:cstheme="minorBidi"/>
          <w:smallCaps w:val="0"/>
          <w:noProof/>
          <w:sz w:val="22"/>
          <w:szCs w:val="22"/>
          <w:lang w:eastAsia="en-GB" w:bidi="ar-SA"/>
        </w:rPr>
      </w:pPr>
      <w:hyperlink w:anchor="_Toc488316683" w:history="1">
        <w:r w:rsidR="00F5657B" w:rsidRPr="001E4526">
          <w:rPr>
            <w:rStyle w:val="Hyperlink"/>
            <w:noProof/>
          </w:rPr>
          <w:t>2.1</w:t>
        </w:r>
        <w:r w:rsidR="00F5657B">
          <w:rPr>
            <w:rFonts w:eastAsiaTheme="minorEastAsia" w:cstheme="minorBidi"/>
            <w:smallCaps w:val="0"/>
            <w:noProof/>
            <w:sz w:val="22"/>
            <w:szCs w:val="22"/>
            <w:lang w:eastAsia="en-GB" w:bidi="ar-SA"/>
          </w:rPr>
          <w:tab/>
        </w:r>
        <w:r w:rsidR="00F5657B" w:rsidRPr="001E4526">
          <w:rPr>
            <w:rStyle w:val="Hyperlink"/>
            <w:noProof/>
          </w:rPr>
          <w:t>Safety and nutrition assessment</w:t>
        </w:r>
        <w:r w:rsidR="00F5657B">
          <w:rPr>
            <w:noProof/>
            <w:webHidden/>
          </w:rPr>
          <w:tab/>
        </w:r>
        <w:r w:rsidR="00F5657B">
          <w:rPr>
            <w:noProof/>
            <w:webHidden/>
          </w:rPr>
          <w:fldChar w:fldCharType="begin"/>
        </w:r>
        <w:r w:rsidR="00F5657B">
          <w:rPr>
            <w:noProof/>
            <w:webHidden/>
          </w:rPr>
          <w:instrText xml:space="preserve"> PAGEREF _Toc488316683 \h </w:instrText>
        </w:r>
        <w:r w:rsidR="00F5657B">
          <w:rPr>
            <w:noProof/>
            <w:webHidden/>
          </w:rPr>
        </w:r>
        <w:r w:rsidR="00F5657B">
          <w:rPr>
            <w:noProof/>
            <w:webHidden/>
          </w:rPr>
          <w:fldChar w:fldCharType="separate"/>
        </w:r>
        <w:r>
          <w:rPr>
            <w:noProof/>
            <w:webHidden/>
          </w:rPr>
          <w:t>4</w:t>
        </w:r>
        <w:r w:rsidR="00F5657B">
          <w:rPr>
            <w:noProof/>
            <w:webHidden/>
          </w:rPr>
          <w:fldChar w:fldCharType="end"/>
        </w:r>
      </w:hyperlink>
    </w:p>
    <w:p w14:paraId="21B63068" w14:textId="5621F073" w:rsidR="00F5657B" w:rsidRDefault="00F57280">
      <w:pPr>
        <w:pStyle w:val="TOC2"/>
        <w:tabs>
          <w:tab w:val="left" w:pos="880"/>
          <w:tab w:val="right" w:leader="dot" w:pos="9060"/>
        </w:tabs>
        <w:rPr>
          <w:rFonts w:eastAsiaTheme="minorEastAsia" w:cstheme="minorBidi"/>
          <w:smallCaps w:val="0"/>
          <w:noProof/>
          <w:sz w:val="22"/>
          <w:szCs w:val="22"/>
          <w:lang w:eastAsia="en-GB" w:bidi="ar-SA"/>
        </w:rPr>
      </w:pPr>
      <w:hyperlink w:anchor="_Toc488316684" w:history="1">
        <w:r w:rsidR="00F5657B" w:rsidRPr="001E4526">
          <w:rPr>
            <w:rStyle w:val="Hyperlink"/>
            <w:noProof/>
          </w:rPr>
          <w:t>2.2</w:t>
        </w:r>
        <w:r w:rsidR="00F5657B">
          <w:rPr>
            <w:rFonts w:eastAsiaTheme="minorEastAsia" w:cstheme="minorBidi"/>
            <w:smallCaps w:val="0"/>
            <w:noProof/>
            <w:sz w:val="22"/>
            <w:szCs w:val="22"/>
            <w:lang w:eastAsia="en-GB" w:bidi="ar-SA"/>
          </w:rPr>
          <w:tab/>
        </w:r>
        <w:r w:rsidR="00F5657B" w:rsidRPr="001E4526">
          <w:rPr>
            <w:rStyle w:val="Hyperlink"/>
            <w:noProof/>
          </w:rPr>
          <w:t>Risk management</w:t>
        </w:r>
        <w:r w:rsidR="00F5657B">
          <w:rPr>
            <w:noProof/>
            <w:webHidden/>
          </w:rPr>
          <w:tab/>
        </w:r>
        <w:r w:rsidR="00F5657B">
          <w:rPr>
            <w:noProof/>
            <w:webHidden/>
          </w:rPr>
          <w:fldChar w:fldCharType="begin"/>
        </w:r>
        <w:r w:rsidR="00F5657B">
          <w:rPr>
            <w:noProof/>
            <w:webHidden/>
          </w:rPr>
          <w:instrText xml:space="preserve"> PAGEREF _Toc488316684 \h </w:instrText>
        </w:r>
        <w:r w:rsidR="00F5657B">
          <w:rPr>
            <w:noProof/>
            <w:webHidden/>
          </w:rPr>
        </w:r>
        <w:r w:rsidR="00F5657B">
          <w:rPr>
            <w:noProof/>
            <w:webHidden/>
          </w:rPr>
          <w:fldChar w:fldCharType="separate"/>
        </w:r>
        <w:r>
          <w:rPr>
            <w:noProof/>
            <w:webHidden/>
          </w:rPr>
          <w:t>5</w:t>
        </w:r>
        <w:r w:rsidR="00F5657B">
          <w:rPr>
            <w:noProof/>
            <w:webHidden/>
          </w:rPr>
          <w:fldChar w:fldCharType="end"/>
        </w:r>
      </w:hyperlink>
    </w:p>
    <w:p w14:paraId="656BCAA3" w14:textId="2C86BEBE" w:rsidR="00F5657B" w:rsidRDefault="00F57280">
      <w:pPr>
        <w:pStyle w:val="TOC3"/>
        <w:tabs>
          <w:tab w:val="left" w:pos="1100"/>
          <w:tab w:val="right" w:leader="dot" w:pos="9060"/>
        </w:tabs>
        <w:rPr>
          <w:rFonts w:eastAsiaTheme="minorEastAsia" w:cstheme="minorBidi"/>
          <w:i w:val="0"/>
          <w:iCs w:val="0"/>
          <w:noProof/>
          <w:sz w:val="22"/>
          <w:szCs w:val="22"/>
          <w:lang w:eastAsia="en-GB" w:bidi="ar-SA"/>
        </w:rPr>
      </w:pPr>
      <w:hyperlink w:anchor="_Toc488316685" w:history="1">
        <w:r w:rsidR="00F5657B" w:rsidRPr="001E4526">
          <w:rPr>
            <w:rStyle w:val="Hyperlink"/>
            <w:noProof/>
          </w:rPr>
          <w:t>2.2.1</w:t>
        </w:r>
        <w:r w:rsidR="00F5657B">
          <w:rPr>
            <w:rFonts w:eastAsiaTheme="minorEastAsia" w:cstheme="minorBidi"/>
            <w:i w:val="0"/>
            <w:iCs w:val="0"/>
            <w:noProof/>
            <w:sz w:val="22"/>
            <w:szCs w:val="22"/>
            <w:lang w:eastAsia="en-GB" w:bidi="ar-SA"/>
          </w:rPr>
          <w:tab/>
        </w:r>
        <w:r w:rsidR="00F5657B" w:rsidRPr="001E4526">
          <w:rPr>
            <w:rStyle w:val="Hyperlink"/>
            <w:noProof/>
          </w:rPr>
          <w:t>Labelling</w:t>
        </w:r>
        <w:r w:rsidR="00F5657B">
          <w:rPr>
            <w:noProof/>
            <w:webHidden/>
          </w:rPr>
          <w:tab/>
        </w:r>
        <w:r w:rsidR="00F5657B">
          <w:rPr>
            <w:noProof/>
            <w:webHidden/>
          </w:rPr>
          <w:fldChar w:fldCharType="begin"/>
        </w:r>
        <w:r w:rsidR="00F5657B">
          <w:rPr>
            <w:noProof/>
            <w:webHidden/>
          </w:rPr>
          <w:instrText xml:space="preserve"> PAGEREF _Toc488316685 \h </w:instrText>
        </w:r>
        <w:r w:rsidR="00F5657B">
          <w:rPr>
            <w:noProof/>
            <w:webHidden/>
          </w:rPr>
        </w:r>
        <w:r w:rsidR="00F5657B">
          <w:rPr>
            <w:noProof/>
            <w:webHidden/>
          </w:rPr>
          <w:fldChar w:fldCharType="separate"/>
        </w:r>
        <w:r>
          <w:rPr>
            <w:noProof/>
            <w:webHidden/>
          </w:rPr>
          <w:t>6</w:t>
        </w:r>
        <w:r w:rsidR="00F5657B">
          <w:rPr>
            <w:noProof/>
            <w:webHidden/>
          </w:rPr>
          <w:fldChar w:fldCharType="end"/>
        </w:r>
      </w:hyperlink>
    </w:p>
    <w:p w14:paraId="7349CCA4" w14:textId="4B1802DB" w:rsidR="00F5657B" w:rsidRDefault="00F57280">
      <w:pPr>
        <w:pStyle w:val="TOC3"/>
        <w:tabs>
          <w:tab w:val="left" w:pos="1100"/>
          <w:tab w:val="right" w:leader="dot" w:pos="9060"/>
        </w:tabs>
        <w:rPr>
          <w:rFonts w:eastAsiaTheme="minorEastAsia" w:cstheme="minorBidi"/>
          <w:i w:val="0"/>
          <w:iCs w:val="0"/>
          <w:noProof/>
          <w:sz w:val="22"/>
          <w:szCs w:val="22"/>
          <w:lang w:eastAsia="en-GB" w:bidi="ar-SA"/>
        </w:rPr>
      </w:pPr>
      <w:hyperlink w:anchor="_Toc488316686" w:history="1">
        <w:r w:rsidR="00F5657B" w:rsidRPr="001E4526">
          <w:rPr>
            <w:rStyle w:val="Hyperlink"/>
            <w:noProof/>
          </w:rPr>
          <w:t>2.2.2</w:t>
        </w:r>
        <w:r w:rsidR="00F5657B">
          <w:rPr>
            <w:rFonts w:eastAsiaTheme="minorEastAsia" w:cstheme="minorBidi"/>
            <w:i w:val="0"/>
            <w:iCs w:val="0"/>
            <w:noProof/>
            <w:sz w:val="22"/>
            <w:szCs w:val="22"/>
            <w:lang w:eastAsia="en-GB" w:bidi="ar-SA"/>
          </w:rPr>
          <w:tab/>
        </w:r>
        <w:r w:rsidR="00F5657B" w:rsidRPr="001E4526">
          <w:rPr>
            <w:rStyle w:val="Hyperlink"/>
            <w:noProof/>
          </w:rPr>
          <w:t>Detection methodology</w:t>
        </w:r>
        <w:r w:rsidR="00F5657B">
          <w:rPr>
            <w:noProof/>
            <w:webHidden/>
          </w:rPr>
          <w:tab/>
        </w:r>
        <w:r w:rsidR="00F5657B">
          <w:rPr>
            <w:noProof/>
            <w:webHidden/>
          </w:rPr>
          <w:fldChar w:fldCharType="begin"/>
        </w:r>
        <w:r w:rsidR="00F5657B">
          <w:rPr>
            <w:noProof/>
            <w:webHidden/>
          </w:rPr>
          <w:instrText xml:space="preserve"> PAGEREF _Toc488316686 \h </w:instrText>
        </w:r>
        <w:r w:rsidR="00F5657B">
          <w:rPr>
            <w:noProof/>
            <w:webHidden/>
          </w:rPr>
        </w:r>
        <w:r w:rsidR="00F5657B">
          <w:rPr>
            <w:noProof/>
            <w:webHidden/>
          </w:rPr>
          <w:fldChar w:fldCharType="separate"/>
        </w:r>
        <w:r>
          <w:rPr>
            <w:noProof/>
            <w:webHidden/>
          </w:rPr>
          <w:t>7</w:t>
        </w:r>
        <w:r w:rsidR="00F5657B">
          <w:rPr>
            <w:noProof/>
            <w:webHidden/>
          </w:rPr>
          <w:fldChar w:fldCharType="end"/>
        </w:r>
      </w:hyperlink>
    </w:p>
    <w:p w14:paraId="713CB253" w14:textId="715175BD" w:rsidR="00F5657B" w:rsidRDefault="00F57280">
      <w:pPr>
        <w:pStyle w:val="TOC3"/>
        <w:tabs>
          <w:tab w:val="left" w:pos="1100"/>
          <w:tab w:val="right" w:leader="dot" w:pos="9060"/>
        </w:tabs>
        <w:rPr>
          <w:rFonts w:eastAsiaTheme="minorEastAsia" w:cstheme="minorBidi"/>
          <w:i w:val="0"/>
          <w:iCs w:val="0"/>
          <w:noProof/>
          <w:sz w:val="22"/>
          <w:szCs w:val="22"/>
          <w:lang w:eastAsia="en-GB" w:bidi="ar-SA"/>
        </w:rPr>
      </w:pPr>
      <w:hyperlink w:anchor="_Toc488316687" w:history="1">
        <w:r w:rsidR="00F5657B" w:rsidRPr="001E4526">
          <w:rPr>
            <w:rStyle w:val="Hyperlink"/>
            <w:noProof/>
          </w:rPr>
          <w:t>2.2.3</w:t>
        </w:r>
        <w:r w:rsidR="00F5657B">
          <w:rPr>
            <w:rFonts w:eastAsiaTheme="minorEastAsia" w:cstheme="minorBidi"/>
            <w:i w:val="0"/>
            <w:iCs w:val="0"/>
            <w:noProof/>
            <w:sz w:val="22"/>
            <w:szCs w:val="22"/>
            <w:lang w:eastAsia="en-GB" w:bidi="ar-SA"/>
          </w:rPr>
          <w:tab/>
        </w:r>
        <w:r w:rsidR="00F5657B" w:rsidRPr="001E4526">
          <w:rPr>
            <w:rStyle w:val="Hyperlink"/>
            <w:noProof/>
          </w:rPr>
          <w:t>Trade considerations</w:t>
        </w:r>
        <w:r w:rsidR="00F5657B">
          <w:rPr>
            <w:noProof/>
            <w:webHidden/>
          </w:rPr>
          <w:tab/>
        </w:r>
        <w:r w:rsidR="00F5657B">
          <w:rPr>
            <w:noProof/>
            <w:webHidden/>
          </w:rPr>
          <w:fldChar w:fldCharType="begin"/>
        </w:r>
        <w:r w:rsidR="00F5657B">
          <w:rPr>
            <w:noProof/>
            <w:webHidden/>
          </w:rPr>
          <w:instrText xml:space="preserve"> PAGEREF _Toc488316687 \h </w:instrText>
        </w:r>
        <w:r w:rsidR="00F5657B">
          <w:rPr>
            <w:noProof/>
            <w:webHidden/>
          </w:rPr>
        </w:r>
        <w:r w:rsidR="00F5657B">
          <w:rPr>
            <w:noProof/>
            <w:webHidden/>
          </w:rPr>
          <w:fldChar w:fldCharType="separate"/>
        </w:r>
        <w:r>
          <w:rPr>
            <w:noProof/>
            <w:webHidden/>
          </w:rPr>
          <w:t>7</w:t>
        </w:r>
        <w:r w:rsidR="00F5657B">
          <w:rPr>
            <w:noProof/>
            <w:webHidden/>
          </w:rPr>
          <w:fldChar w:fldCharType="end"/>
        </w:r>
      </w:hyperlink>
    </w:p>
    <w:p w14:paraId="40921902" w14:textId="01202924" w:rsidR="00F5657B" w:rsidRDefault="00F57280">
      <w:pPr>
        <w:pStyle w:val="TOC2"/>
        <w:tabs>
          <w:tab w:val="left" w:pos="880"/>
          <w:tab w:val="right" w:leader="dot" w:pos="9060"/>
        </w:tabs>
        <w:rPr>
          <w:rFonts w:eastAsiaTheme="minorEastAsia" w:cstheme="minorBidi"/>
          <w:smallCaps w:val="0"/>
          <w:noProof/>
          <w:sz w:val="22"/>
          <w:szCs w:val="22"/>
          <w:lang w:eastAsia="en-GB" w:bidi="ar-SA"/>
        </w:rPr>
      </w:pPr>
      <w:hyperlink w:anchor="_Toc488316688" w:history="1">
        <w:r w:rsidR="00F5657B" w:rsidRPr="001E4526">
          <w:rPr>
            <w:rStyle w:val="Hyperlink"/>
            <w:noProof/>
          </w:rPr>
          <w:t>2.3</w:t>
        </w:r>
        <w:r w:rsidR="00F5657B">
          <w:rPr>
            <w:rFonts w:eastAsiaTheme="minorEastAsia" w:cstheme="minorBidi"/>
            <w:smallCaps w:val="0"/>
            <w:noProof/>
            <w:sz w:val="22"/>
            <w:szCs w:val="22"/>
            <w:lang w:eastAsia="en-GB" w:bidi="ar-SA"/>
          </w:rPr>
          <w:tab/>
        </w:r>
        <w:r w:rsidR="00F5657B" w:rsidRPr="001E4526">
          <w:rPr>
            <w:rStyle w:val="Hyperlink"/>
            <w:noProof/>
          </w:rPr>
          <w:t>Risk communication</w:t>
        </w:r>
        <w:r w:rsidR="00F5657B">
          <w:rPr>
            <w:noProof/>
            <w:webHidden/>
          </w:rPr>
          <w:tab/>
        </w:r>
        <w:r w:rsidR="00F5657B">
          <w:rPr>
            <w:noProof/>
            <w:webHidden/>
          </w:rPr>
          <w:fldChar w:fldCharType="begin"/>
        </w:r>
        <w:r w:rsidR="00F5657B">
          <w:rPr>
            <w:noProof/>
            <w:webHidden/>
          </w:rPr>
          <w:instrText xml:space="preserve"> PAGEREF _Toc488316688 \h </w:instrText>
        </w:r>
        <w:r w:rsidR="00F5657B">
          <w:rPr>
            <w:noProof/>
            <w:webHidden/>
          </w:rPr>
        </w:r>
        <w:r w:rsidR="00F5657B">
          <w:rPr>
            <w:noProof/>
            <w:webHidden/>
          </w:rPr>
          <w:fldChar w:fldCharType="separate"/>
        </w:r>
        <w:r>
          <w:rPr>
            <w:noProof/>
            <w:webHidden/>
          </w:rPr>
          <w:t>8</w:t>
        </w:r>
        <w:r w:rsidR="00F5657B">
          <w:rPr>
            <w:noProof/>
            <w:webHidden/>
          </w:rPr>
          <w:fldChar w:fldCharType="end"/>
        </w:r>
      </w:hyperlink>
    </w:p>
    <w:p w14:paraId="3FD62922" w14:textId="58FD946B" w:rsidR="00F5657B" w:rsidRDefault="00F57280">
      <w:pPr>
        <w:pStyle w:val="TOC3"/>
        <w:tabs>
          <w:tab w:val="left" w:pos="1100"/>
          <w:tab w:val="right" w:leader="dot" w:pos="9060"/>
        </w:tabs>
        <w:rPr>
          <w:rFonts w:eastAsiaTheme="minorEastAsia" w:cstheme="minorBidi"/>
          <w:i w:val="0"/>
          <w:iCs w:val="0"/>
          <w:noProof/>
          <w:sz w:val="22"/>
          <w:szCs w:val="22"/>
          <w:lang w:eastAsia="en-GB" w:bidi="ar-SA"/>
        </w:rPr>
      </w:pPr>
      <w:hyperlink w:anchor="_Toc488316689" w:history="1">
        <w:r w:rsidR="00F5657B" w:rsidRPr="001E4526">
          <w:rPr>
            <w:rStyle w:val="Hyperlink"/>
            <w:noProof/>
          </w:rPr>
          <w:t>2.3.1</w:t>
        </w:r>
        <w:r w:rsidR="00F5657B">
          <w:rPr>
            <w:rFonts w:eastAsiaTheme="minorEastAsia" w:cstheme="minorBidi"/>
            <w:i w:val="0"/>
            <w:iCs w:val="0"/>
            <w:noProof/>
            <w:sz w:val="22"/>
            <w:szCs w:val="22"/>
            <w:lang w:eastAsia="en-GB" w:bidi="ar-SA"/>
          </w:rPr>
          <w:tab/>
        </w:r>
        <w:r w:rsidR="00F5657B" w:rsidRPr="001E4526">
          <w:rPr>
            <w:rStyle w:val="Hyperlink"/>
            <w:noProof/>
          </w:rPr>
          <w:t>Consultation</w:t>
        </w:r>
        <w:r w:rsidR="00F5657B">
          <w:rPr>
            <w:noProof/>
            <w:webHidden/>
          </w:rPr>
          <w:tab/>
        </w:r>
        <w:r w:rsidR="00F5657B">
          <w:rPr>
            <w:noProof/>
            <w:webHidden/>
          </w:rPr>
          <w:fldChar w:fldCharType="begin"/>
        </w:r>
        <w:r w:rsidR="00F5657B">
          <w:rPr>
            <w:noProof/>
            <w:webHidden/>
          </w:rPr>
          <w:instrText xml:space="preserve"> PAGEREF _Toc488316689 \h </w:instrText>
        </w:r>
        <w:r w:rsidR="00F5657B">
          <w:rPr>
            <w:noProof/>
            <w:webHidden/>
          </w:rPr>
        </w:r>
        <w:r w:rsidR="00F5657B">
          <w:rPr>
            <w:noProof/>
            <w:webHidden/>
          </w:rPr>
          <w:fldChar w:fldCharType="separate"/>
        </w:r>
        <w:r>
          <w:rPr>
            <w:noProof/>
            <w:webHidden/>
          </w:rPr>
          <w:t>8</w:t>
        </w:r>
        <w:r w:rsidR="00F5657B">
          <w:rPr>
            <w:noProof/>
            <w:webHidden/>
          </w:rPr>
          <w:fldChar w:fldCharType="end"/>
        </w:r>
      </w:hyperlink>
    </w:p>
    <w:p w14:paraId="15F4DB2A" w14:textId="441E7148" w:rsidR="00F5657B" w:rsidRDefault="00F57280">
      <w:pPr>
        <w:pStyle w:val="TOC3"/>
        <w:tabs>
          <w:tab w:val="left" w:pos="1100"/>
          <w:tab w:val="right" w:leader="dot" w:pos="9060"/>
        </w:tabs>
        <w:rPr>
          <w:rFonts w:eastAsiaTheme="minorEastAsia" w:cstheme="minorBidi"/>
          <w:i w:val="0"/>
          <w:iCs w:val="0"/>
          <w:noProof/>
          <w:sz w:val="22"/>
          <w:szCs w:val="22"/>
          <w:lang w:eastAsia="en-GB" w:bidi="ar-SA"/>
        </w:rPr>
      </w:pPr>
      <w:hyperlink w:anchor="_Toc488316690" w:history="1">
        <w:r w:rsidR="00F5657B" w:rsidRPr="001E4526">
          <w:rPr>
            <w:rStyle w:val="Hyperlink"/>
            <w:noProof/>
          </w:rPr>
          <w:t>2.3.2</w:t>
        </w:r>
        <w:r w:rsidR="00F5657B">
          <w:rPr>
            <w:rFonts w:eastAsiaTheme="minorEastAsia" w:cstheme="minorBidi"/>
            <w:i w:val="0"/>
            <w:iCs w:val="0"/>
            <w:noProof/>
            <w:sz w:val="22"/>
            <w:szCs w:val="22"/>
            <w:lang w:eastAsia="en-GB" w:bidi="ar-SA"/>
          </w:rPr>
          <w:tab/>
        </w:r>
        <w:r w:rsidR="00F5657B" w:rsidRPr="001E4526">
          <w:rPr>
            <w:rStyle w:val="Hyperlink"/>
            <w:noProof/>
          </w:rPr>
          <w:t>World Trade Organization (WTO)</w:t>
        </w:r>
        <w:r w:rsidR="00F5657B">
          <w:rPr>
            <w:noProof/>
            <w:webHidden/>
          </w:rPr>
          <w:tab/>
        </w:r>
        <w:r w:rsidR="00F5657B">
          <w:rPr>
            <w:noProof/>
            <w:webHidden/>
          </w:rPr>
          <w:fldChar w:fldCharType="begin"/>
        </w:r>
        <w:r w:rsidR="00F5657B">
          <w:rPr>
            <w:noProof/>
            <w:webHidden/>
          </w:rPr>
          <w:instrText xml:space="preserve"> PAGEREF _Toc488316690 \h </w:instrText>
        </w:r>
        <w:r w:rsidR="00F5657B">
          <w:rPr>
            <w:noProof/>
            <w:webHidden/>
          </w:rPr>
        </w:r>
        <w:r w:rsidR="00F5657B">
          <w:rPr>
            <w:noProof/>
            <w:webHidden/>
          </w:rPr>
          <w:fldChar w:fldCharType="separate"/>
        </w:r>
        <w:r>
          <w:rPr>
            <w:noProof/>
            <w:webHidden/>
          </w:rPr>
          <w:t>8</w:t>
        </w:r>
        <w:r w:rsidR="00F5657B">
          <w:rPr>
            <w:noProof/>
            <w:webHidden/>
          </w:rPr>
          <w:fldChar w:fldCharType="end"/>
        </w:r>
      </w:hyperlink>
    </w:p>
    <w:p w14:paraId="6D889D9E" w14:textId="3B76DF7B" w:rsidR="00F5657B" w:rsidRDefault="00F57280">
      <w:pPr>
        <w:pStyle w:val="TOC2"/>
        <w:tabs>
          <w:tab w:val="left" w:pos="880"/>
          <w:tab w:val="right" w:leader="dot" w:pos="9060"/>
        </w:tabs>
        <w:rPr>
          <w:rFonts w:eastAsiaTheme="minorEastAsia" w:cstheme="minorBidi"/>
          <w:smallCaps w:val="0"/>
          <w:noProof/>
          <w:sz w:val="22"/>
          <w:szCs w:val="22"/>
          <w:lang w:eastAsia="en-GB" w:bidi="ar-SA"/>
        </w:rPr>
      </w:pPr>
      <w:hyperlink w:anchor="_Toc488316691" w:history="1">
        <w:r w:rsidR="00F5657B" w:rsidRPr="001E4526">
          <w:rPr>
            <w:rStyle w:val="Hyperlink"/>
            <w:noProof/>
          </w:rPr>
          <w:t>2.4</w:t>
        </w:r>
        <w:r w:rsidR="00F5657B">
          <w:rPr>
            <w:rFonts w:eastAsiaTheme="minorEastAsia" w:cstheme="minorBidi"/>
            <w:smallCaps w:val="0"/>
            <w:noProof/>
            <w:sz w:val="22"/>
            <w:szCs w:val="22"/>
            <w:lang w:eastAsia="en-GB" w:bidi="ar-SA"/>
          </w:rPr>
          <w:tab/>
        </w:r>
        <w:r w:rsidR="00F5657B" w:rsidRPr="001E4526">
          <w:rPr>
            <w:rStyle w:val="Hyperlink"/>
            <w:noProof/>
          </w:rPr>
          <w:t>FSANZ Act assessment requirements</w:t>
        </w:r>
        <w:r w:rsidR="00F5657B">
          <w:rPr>
            <w:noProof/>
            <w:webHidden/>
          </w:rPr>
          <w:tab/>
        </w:r>
        <w:r w:rsidR="00F5657B">
          <w:rPr>
            <w:noProof/>
            <w:webHidden/>
          </w:rPr>
          <w:fldChar w:fldCharType="begin"/>
        </w:r>
        <w:r w:rsidR="00F5657B">
          <w:rPr>
            <w:noProof/>
            <w:webHidden/>
          </w:rPr>
          <w:instrText xml:space="preserve"> PAGEREF _Toc488316691 \h </w:instrText>
        </w:r>
        <w:r w:rsidR="00F5657B">
          <w:rPr>
            <w:noProof/>
            <w:webHidden/>
          </w:rPr>
        </w:r>
        <w:r w:rsidR="00F5657B">
          <w:rPr>
            <w:noProof/>
            <w:webHidden/>
          </w:rPr>
          <w:fldChar w:fldCharType="separate"/>
        </w:r>
        <w:r>
          <w:rPr>
            <w:noProof/>
            <w:webHidden/>
          </w:rPr>
          <w:t>9</w:t>
        </w:r>
        <w:r w:rsidR="00F5657B">
          <w:rPr>
            <w:noProof/>
            <w:webHidden/>
          </w:rPr>
          <w:fldChar w:fldCharType="end"/>
        </w:r>
      </w:hyperlink>
    </w:p>
    <w:p w14:paraId="2D139B8E" w14:textId="6A7D0F82" w:rsidR="00F5657B" w:rsidRDefault="00F57280">
      <w:pPr>
        <w:pStyle w:val="TOC3"/>
        <w:tabs>
          <w:tab w:val="left" w:pos="1100"/>
          <w:tab w:val="right" w:leader="dot" w:pos="9060"/>
        </w:tabs>
        <w:rPr>
          <w:rFonts w:eastAsiaTheme="minorEastAsia" w:cstheme="minorBidi"/>
          <w:i w:val="0"/>
          <w:iCs w:val="0"/>
          <w:noProof/>
          <w:sz w:val="22"/>
          <w:szCs w:val="22"/>
          <w:lang w:eastAsia="en-GB" w:bidi="ar-SA"/>
        </w:rPr>
      </w:pPr>
      <w:hyperlink w:anchor="_Toc488316692" w:history="1">
        <w:r w:rsidR="00F5657B" w:rsidRPr="001E4526">
          <w:rPr>
            <w:rStyle w:val="Hyperlink"/>
            <w:noProof/>
          </w:rPr>
          <w:t>2.4.1</w:t>
        </w:r>
        <w:r w:rsidR="00F5657B">
          <w:rPr>
            <w:rFonts w:eastAsiaTheme="minorEastAsia" w:cstheme="minorBidi"/>
            <w:i w:val="0"/>
            <w:iCs w:val="0"/>
            <w:noProof/>
            <w:sz w:val="22"/>
            <w:szCs w:val="22"/>
            <w:lang w:eastAsia="en-GB" w:bidi="ar-SA"/>
          </w:rPr>
          <w:tab/>
        </w:r>
        <w:r w:rsidR="00F5657B" w:rsidRPr="001E4526">
          <w:rPr>
            <w:rStyle w:val="Hyperlink"/>
            <w:noProof/>
          </w:rPr>
          <w:t>Section 29</w:t>
        </w:r>
        <w:r w:rsidR="00F5657B">
          <w:rPr>
            <w:noProof/>
            <w:webHidden/>
          </w:rPr>
          <w:tab/>
        </w:r>
        <w:r w:rsidR="00F5657B">
          <w:rPr>
            <w:noProof/>
            <w:webHidden/>
          </w:rPr>
          <w:fldChar w:fldCharType="begin"/>
        </w:r>
        <w:r w:rsidR="00F5657B">
          <w:rPr>
            <w:noProof/>
            <w:webHidden/>
          </w:rPr>
          <w:instrText xml:space="preserve"> PAGEREF _Toc488316692 \h </w:instrText>
        </w:r>
        <w:r w:rsidR="00F5657B">
          <w:rPr>
            <w:noProof/>
            <w:webHidden/>
          </w:rPr>
        </w:r>
        <w:r w:rsidR="00F5657B">
          <w:rPr>
            <w:noProof/>
            <w:webHidden/>
          </w:rPr>
          <w:fldChar w:fldCharType="separate"/>
        </w:r>
        <w:r>
          <w:rPr>
            <w:noProof/>
            <w:webHidden/>
          </w:rPr>
          <w:t>9</w:t>
        </w:r>
        <w:r w:rsidR="00F5657B">
          <w:rPr>
            <w:noProof/>
            <w:webHidden/>
          </w:rPr>
          <w:fldChar w:fldCharType="end"/>
        </w:r>
      </w:hyperlink>
    </w:p>
    <w:p w14:paraId="64435274" w14:textId="697B431D" w:rsidR="00F5657B" w:rsidRDefault="00F57280">
      <w:pPr>
        <w:pStyle w:val="TOC3"/>
        <w:tabs>
          <w:tab w:val="left" w:pos="1100"/>
          <w:tab w:val="right" w:leader="dot" w:pos="9060"/>
        </w:tabs>
        <w:rPr>
          <w:rFonts w:eastAsiaTheme="minorEastAsia" w:cstheme="minorBidi"/>
          <w:i w:val="0"/>
          <w:iCs w:val="0"/>
          <w:noProof/>
          <w:sz w:val="22"/>
          <w:szCs w:val="22"/>
          <w:lang w:eastAsia="en-GB" w:bidi="ar-SA"/>
        </w:rPr>
      </w:pPr>
      <w:hyperlink w:anchor="_Toc488316693" w:history="1">
        <w:r w:rsidR="00F5657B" w:rsidRPr="001E4526">
          <w:rPr>
            <w:rStyle w:val="Hyperlink"/>
            <w:noProof/>
          </w:rPr>
          <w:t>2.4.2</w:t>
        </w:r>
        <w:r w:rsidR="00F5657B">
          <w:rPr>
            <w:rFonts w:eastAsiaTheme="minorEastAsia" w:cstheme="minorBidi"/>
            <w:i w:val="0"/>
            <w:iCs w:val="0"/>
            <w:noProof/>
            <w:sz w:val="22"/>
            <w:szCs w:val="22"/>
            <w:lang w:eastAsia="en-GB" w:bidi="ar-SA"/>
          </w:rPr>
          <w:tab/>
        </w:r>
        <w:r w:rsidR="00F5657B" w:rsidRPr="001E4526">
          <w:rPr>
            <w:rStyle w:val="Hyperlink"/>
            <w:noProof/>
          </w:rPr>
          <w:t>Subsection 18(1)</w:t>
        </w:r>
        <w:r w:rsidR="00F5657B">
          <w:rPr>
            <w:noProof/>
            <w:webHidden/>
          </w:rPr>
          <w:tab/>
        </w:r>
        <w:r w:rsidR="00F5657B">
          <w:rPr>
            <w:noProof/>
            <w:webHidden/>
          </w:rPr>
          <w:fldChar w:fldCharType="begin"/>
        </w:r>
        <w:r w:rsidR="00F5657B">
          <w:rPr>
            <w:noProof/>
            <w:webHidden/>
          </w:rPr>
          <w:instrText xml:space="preserve"> PAGEREF _Toc488316693 \h </w:instrText>
        </w:r>
        <w:r w:rsidR="00F5657B">
          <w:rPr>
            <w:noProof/>
            <w:webHidden/>
          </w:rPr>
        </w:r>
        <w:r w:rsidR="00F5657B">
          <w:rPr>
            <w:noProof/>
            <w:webHidden/>
          </w:rPr>
          <w:fldChar w:fldCharType="separate"/>
        </w:r>
        <w:r>
          <w:rPr>
            <w:noProof/>
            <w:webHidden/>
          </w:rPr>
          <w:t>11</w:t>
        </w:r>
        <w:r w:rsidR="00F5657B">
          <w:rPr>
            <w:noProof/>
            <w:webHidden/>
          </w:rPr>
          <w:fldChar w:fldCharType="end"/>
        </w:r>
      </w:hyperlink>
    </w:p>
    <w:p w14:paraId="05BF0B01" w14:textId="503B148F" w:rsidR="00F5657B" w:rsidRDefault="00F57280">
      <w:pPr>
        <w:pStyle w:val="TOC3"/>
        <w:tabs>
          <w:tab w:val="left" w:pos="1100"/>
          <w:tab w:val="right" w:leader="dot" w:pos="9060"/>
        </w:tabs>
        <w:rPr>
          <w:rFonts w:eastAsiaTheme="minorEastAsia" w:cstheme="minorBidi"/>
          <w:i w:val="0"/>
          <w:iCs w:val="0"/>
          <w:noProof/>
          <w:sz w:val="22"/>
          <w:szCs w:val="22"/>
          <w:lang w:eastAsia="en-GB" w:bidi="ar-SA"/>
        </w:rPr>
      </w:pPr>
      <w:hyperlink w:anchor="_Toc488316694" w:history="1">
        <w:r w:rsidR="00F5657B" w:rsidRPr="001E4526">
          <w:rPr>
            <w:rStyle w:val="Hyperlink"/>
            <w:noProof/>
          </w:rPr>
          <w:t>2.4.3</w:t>
        </w:r>
        <w:r w:rsidR="00F5657B">
          <w:rPr>
            <w:rFonts w:eastAsiaTheme="minorEastAsia" w:cstheme="minorBidi"/>
            <w:i w:val="0"/>
            <w:iCs w:val="0"/>
            <w:noProof/>
            <w:sz w:val="22"/>
            <w:szCs w:val="22"/>
            <w:lang w:eastAsia="en-GB" w:bidi="ar-SA"/>
          </w:rPr>
          <w:tab/>
        </w:r>
        <w:r w:rsidR="00F5657B" w:rsidRPr="001E4526">
          <w:rPr>
            <w:rStyle w:val="Hyperlink"/>
            <w:noProof/>
          </w:rPr>
          <w:t>Subsection 18(2) considerations</w:t>
        </w:r>
        <w:r w:rsidR="00F5657B">
          <w:rPr>
            <w:noProof/>
            <w:webHidden/>
          </w:rPr>
          <w:tab/>
        </w:r>
        <w:r w:rsidR="00F5657B">
          <w:rPr>
            <w:noProof/>
            <w:webHidden/>
          </w:rPr>
          <w:fldChar w:fldCharType="begin"/>
        </w:r>
        <w:r w:rsidR="00F5657B">
          <w:rPr>
            <w:noProof/>
            <w:webHidden/>
          </w:rPr>
          <w:instrText xml:space="preserve"> PAGEREF _Toc488316694 \h </w:instrText>
        </w:r>
        <w:r w:rsidR="00F5657B">
          <w:rPr>
            <w:noProof/>
            <w:webHidden/>
          </w:rPr>
        </w:r>
        <w:r w:rsidR="00F5657B">
          <w:rPr>
            <w:noProof/>
            <w:webHidden/>
          </w:rPr>
          <w:fldChar w:fldCharType="separate"/>
        </w:r>
        <w:r>
          <w:rPr>
            <w:noProof/>
            <w:webHidden/>
          </w:rPr>
          <w:t>12</w:t>
        </w:r>
        <w:r w:rsidR="00F5657B">
          <w:rPr>
            <w:noProof/>
            <w:webHidden/>
          </w:rPr>
          <w:fldChar w:fldCharType="end"/>
        </w:r>
      </w:hyperlink>
    </w:p>
    <w:p w14:paraId="0D15D732" w14:textId="16D68478" w:rsidR="00F5657B" w:rsidRDefault="00F5728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8316695" w:history="1">
        <w:r w:rsidR="00F5657B" w:rsidRPr="001E4526">
          <w:rPr>
            <w:rStyle w:val="Hyperlink"/>
            <w:noProof/>
          </w:rPr>
          <w:t>3</w:t>
        </w:r>
        <w:r w:rsidR="00F5657B">
          <w:rPr>
            <w:rFonts w:eastAsiaTheme="minorEastAsia" w:cstheme="minorBidi"/>
            <w:b w:val="0"/>
            <w:bCs w:val="0"/>
            <w:caps w:val="0"/>
            <w:noProof/>
            <w:sz w:val="22"/>
            <w:szCs w:val="22"/>
            <w:lang w:eastAsia="en-GB" w:bidi="ar-SA"/>
          </w:rPr>
          <w:tab/>
        </w:r>
        <w:r w:rsidR="00F5657B" w:rsidRPr="001E4526">
          <w:rPr>
            <w:rStyle w:val="Hyperlink"/>
            <w:noProof/>
          </w:rPr>
          <w:t>Draft variation</w:t>
        </w:r>
        <w:r w:rsidR="00F5657B">
          <w:rPr>
            <w:noProof/>
            <w:webHidden/>
          </w:rPr>
          <w:tab/>
        </w:r>
        <w:r w:rsidR="00F5657B">
          <w:rPr>
            <w:noProof/>
            <w:webHidden/>
          </w:rPr>
          <w:fldChar w:fldCharType="begin"/>
        </w:r>
        <w:r w:rsidR="00F5657B">
          <w:rPr>
            <w:noProof/>
            <w:webHidden/>
          </w:rPr>
          <w:instrText xml:space="preserve"> PAGEREF _Toc488316695 \h </w:instrText>
        </w:r>
        <w:r w:rsidR="00F5657B">
          <w:rPr>
            <w:noProof/>
            <w:webHidden/>
          </w:rPr>
        </w:r>
        <w:r w:rsidR="00F5657B">
          <w:rPr>
            <w:noProof/>
            <w:webHidden/>
          </w:rPr>
          <w:fldChar w:fldCharType="separate"/>
        </w:r>
        <w:r>
          <w:rPr>
            <w:noProof/>
            <w:webHidden/>
          </w:rPr>
          <w:t>12</w:t>
        </w:r>
        <w:r w:rsidR="00F5657B">
          <w:rPr>
            <w:noProof/>
            <w:webHidden/>
          </w:rPr>
          <w:fldChar w:fldCharType="end"/>
        </w:r>
      </w:hyperlink>
    </w:p>
    <w:p w14:paraId="19ED44A0" w14:textId="4F3E621F" w:rsidR="00F5657B" w:rsidRDefault="00F5728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8316696" w:history="1">
        <w:r w:rsidR="00F5657B" w:rsidRPr="001E4526">
          <w:rPr>
            <w:rStyle w:val="Hyperlink"/>
            <w:noProof/>
          </w:rPr>
          <w:t>4</w:t>
        </w:r>
        <w:r w:rsidR="00F5657B">
          <w:rPr>
            <w:rFonts w:eastAsiaTheme="minorEastAsia" w:cstheme="minorBidi"/>
            <w:b w:val="0"/>
            <w:bCs w:val="0"/>
            <w:caps w:val="0"/>
            <w:noProof/>
            <w:sz w:val="22"/>
            <w:szCs w:val="22"/>
            <w:lang w:eastAsia="en-GB" w:bidi="ar-SA"/>
          </w:rPr>
          <w:tab/>
        </w:r>
        <w:r w:rsidR="00F5657B" w:rsidRPr="001E4526">
          <w:rPr>
            <w:rStyle w:val="Hyperlink"/>
            <w:noProof/>
          </w:rPr>
          <w:t>References</w:t>
        </w:r>
        <w:r w:rsidR="00F5657B">
          <w:rPr>
            <w:noProof/>
            <w:webHidden/>
          </w:rPr>
          <w:tab/>
        </w:r>
        <w:r w:rsidR="00F5657B">
          <w:rPr>
            <w:noProof/>
            <w:webHidden/>
          </w:rPr>
          <w:fldChar w:fldCharType="begin"/>
        </w:r>
        <w:r w:rsidR="00F5657B">
          <w:rPr>
            <w:noProof/>
            <w:webHidden/>
          </w:rPr>
          <w:instrText xml:space="preserve"> PAGEREF _Toc488316696 \h </w:instrText>
        </w:r>
        <w:r w:rsidR="00F5657B">
          <w:rPr>
            <w:noProof/>
            <w:webHidden/>
          </w:rPr>
        </w:r>
        <w:r w:rsidR="00F5657B">
          <w:rPr>
            <w:noProof/>
            <w:webHidden/>
          </w:rPr>
          <w:fldChar w:fldCharType="separate"/>
        </w:r>
        <w:r>
          <w:rPr>
            <w:noProof/>
            <w:webHidden/>
          </w:rPr>
          <w:t>13</w:t>
        </w:r>
        <w:r w:rsidR="00F5657B">
          <w:rPr>
            <w:noProof/>
            <w:webHidden/>
          </w:rPr>
          <w:fldChar w:fldCharType="end"/>
        </w:r>
      </w:hyperlink>
    </w:p>
    <w:p w14:paraId="3E6E6F17" w14:textId="6E754249" w:rsidR="00F5657B" w:rsidRDefault="00F57280">
      <w:pPr>
        <w:pStyle w:val="TOC2"/>
        <w:tabs>
          <w:tab w:val="right" w:leader="dot" w:pos="9060"/>
        </w:tabs>
        <w:rPr>
          <w:rFonts w:eastAsiaTheme="minorEastAsia" w:cstheme="minorBidi"/>
          <w:smallCaps w:val="0"/>
          <w:noProof/>
          <w:sz w:val="22"/>
          <w:szCs w:val="22"/>
          <w:lang w:eastAsia="en-GB" w:bidi="ar-SA"/>
        </w:rPr>
      </w:pPr>
      <w:hyperlink w:anchor="_Toc488316697" w:history="1">
        <w:r w:rsidR="00F5657B" w:rsidRPr="001E4526">
          <w:rPr>
            <w:rStyle w:val="Hyperlink"/>
            <w:noProof/>
          </w:rPr>
          <w:t xml:space="preserve">Attachment A – Draft variation to the </w:t>
        </w:r>
        <w:r w:rsidR="00F5657B" w:rsidRPr="001E4526">
          <w:rPr>
            <w:rStyle w:val="Hyperlink"/>
            <w:i/>
            <w:noProof/>
          </w:rPr>
          <w:t>Australia New Zealand Food Standards Code</w:t>
        </w:r>
        <w:r w:rsidR="00F5657B">
          <w:rPr>
            <w:noProof/>
            <w:webHidden/>
          </w:rPr>
          <w:tab/>
        </w:r>
        <w:r w:rsidR="00F5657B">
          <w:rPr>
            <w:noProof/>
            <w:webHidden/>
          </w:rPr>
          <w:fldChar w:fldCharType="begin"/>
        </w:r>
        <w:r w:rsidR="00F5657B">
          <w:rPr>
            <w:noProof/>
            <w:webHidden/>
          </w:rPr>
          <w:instrText xml:space="preserve"> PAGEREF _Toc488316697 \h </w:instrText>
        </w:r>
        <w:r w:rsidR="00F5657B">
          <w:rPr>
            <w:noProof/>
            <w:webHidden/>
          </w:rPr>
        </w:r>
        <w:r w:rsidR="00F5657B">
          <w:rPr>
            <w:noProof/>
            <w:webHidden/>
          </w:rPr>
          <w:fldChar w:fldCharType="separate"/>
        </w:r>
        <w:r>
          <w:rPr>
            <w:noProof/>
            <w:webHidden/>
          </w:rPr>
          <w:t>14</w:t>
        </w:r>
        <w:r w:rsidR="00F5657B">
          <w:rPr>
            <w:noProof/>
            <w:webHidden/>
          </w:rPr>
          <w:fldChar w:fldCharType="end"/>
        </w:r>
      </w:hyperlink>
    </w:p>
    <w:p w14:paraId="2DA88B57" w14:textId="0942D899" w:rsidR="00F5657B" w:rsidRDefault="00F57280">
      <w:pPr>
        <w:pStyle w:val="TOC2"/>
        <w:tabs>
          <w:tab w:val="right" w:leader="dot" w:pos="9060"/>
        </w:tabs>
        <w:rPr>
          <w:rFonts w:eastAsiaTheme="minorEastAsia" w:cstheme="minorBidi"/>
          <w:smallCaps w:val="0"/>
          <w:noProof/>
          <w:sz w:val="22"/>
          <w:szCs w:val="22"/>
          <w:lang w:eastAsia="en-GB" w:bidi="ar-SA"/>
        </w:rPr>
      </w:pPr>
      <w:hyperlink w:anchor="_Toc488316698" w:history="1">
        <w:r w:rsidR="00F5657B" w:rsidRPr="001E4526">
          <w:rPr>
            <w:rStyle w:val="Hyperlink"/>
            <w:noProof/>
          </w:rPr>
          <w:t>Attachment B – Draft Explanatory Statement</w:t>
        </w:r>
        <w:r w:rsidR="00F5657B">
          <w:rPr>
            <w:noProof/>
            <w:webHidden/>
          </w:rPr>
          <w:tab/>
        </w:r>
        <w:r w:rsidR="00F5657B">
          <w:rPr>
            <w:noProof/>
            <w:webHidden/>
          </w:rPr>
          <w:fldChar w:fldCharType="begin"/>
        </w:r>
        <w:r w:rsidR="00F5657B">
          <w:rPr>
            <w:noProof/>
            <w:webHidden/>
          </w:rPr>
          <w:instrText xml:space="preserve"> PAGEREF _Toc488316698 \h </w:instrText>
        </w:r>
        <w:r w:rsidR="00F5657B">
          <w:rPr>
            <w:noProof/>
            <w:webHidden/>
          </w:rPr>
        </w:r>
        <w:r w:rsidR="00F5657B">
          <w:rPr>
            <w:noProof/>
            <w:webHidden/>
          </w:rPr>
          <w:fldChar w:fldCharType="separate"/>
        </w:r>
        <w:r>
          <w:rPr>
            <w:noProof/>
            <w:webHidden/>
          </w:rPr>
          <w:t>16</w:t>
        </w:r>
        <w:r w:rsidR="00F5657B">
          <w:rPr>
            <w:noProof/>
            <w:webHidden/>
          </w:rPr>
          <w:fldChar w:fldCharType="end"/>
        </w:r>
      </w:hyperlink>
    </w:p>
    <w:p w14:paraId="07286ECD" w14:textId="77777777" w:rsidR="00051ED9" w:rsidRPr="0059227F" w:rsidRDefault="00051ED9" w:rsidP="00BE3661">
      <w:pPr>
        <w:widowControl/>
        <w:rPr>
          <w:rFonts w:cs="Arial"/>
        </w:rPr>
      </w:pPr>
      <w:r w:rsidRPr="002C4A91">
        <w:rPr>
          <w:rFonts w:cs="Arial"/>
          <w:sz w:val="20"/>
          <w:szCs w:val="20"/>
        </w:rPr>
        <w:fldChar w:fldCharType="end"/>
      </w:r>
    </w:p>
    <w:p w14:paraId="352F568F" w14:textId="77777777" w:rsidR="00D73931" w:rsidRPr="00E203C2" w:rsidRDefault="00D73931" w:rsidP="00BE3661">
      <w:pPr>
        <w:widowControl/>
      </w:pPr>
    </w:p>
    <w:p w14:paraId="74188C9B" w14:textId="77777777" w:rsidR="0037520F" w:rsidRPr="008A2B10" w:rsidRDefault="0037520F" w:rsidP="00BE3661">
      <w:pPr>
        <w:widowControl/>
        <w:rPr>
          <w:b/>
          <w:color w:val="000000" w:themeColor="text1"/>
          <w:szCs w:val="22"/>
        </w:rPr>
      </w:pPr>
      <w:r w:rsidRPr="008A2B10">
        <w:rPr>
          <w:b/>
          <w:color w:val="000000" w:themeColor="text1"/>
          <w:szCs w:val="22"/>
        </w:rPr>
        <w:t>Supporting documents</w:t>
      </w:r>
    </w:p>
    <w:p w14:paraId="6CD6FC49" w14:textId="77777777" w:rsidR="0037520F" w:rsidRPr="0089264A" w:rsidRDefault="0037520F" w:rsidP="00BE3661">
      <w:pPr>
        <w:widowControl/>
        <w:rPr>
          <w:szCs w:val="22"/>
        </w:rPr>
      </w:pPr>
    </w:p>
    <w:p w14:paraId="0E995E9B" w14:textId="77777777" w:rsidR="0037520F" w:rsidRPr="008A2B10" w:rsidRDefault="0037520F" w:rsidP="00BE3661">
      <w:pPr>
        <w:widowControl/>
        <w:rPr>
          <w:color w:val="000000" w:themeColor="text1"/>
          <w:szCs w:val="22"/>
        </w:rPr>
      </w:pPr>
      <w:r w:rsidRPr="00E03893">
        <w:rPr>
          <w:color w:val="000000" w:themeColor="text1"/>
          <w:szCs w:val="22"/>
        </w:rPr>
        <w:t xml:space="preserve">The </w:t>
      </w:r>
      <w:hyperlink r:id="rId23" w:history="1">
        <w:r w:rsidRPr="00E03893">
          <w:rPr>
            <w:rStyle w:val="Hyperlink"/>
            <w:szCs w:val="22"/>
          </w:rPr>
          <w:t>following</w:t>
        </w:r>
        <w:r w:rsidRPr="00E03893">
          <w:rPr>
            <w:rStyle w:val="Hyperlink"/>
            <w:szCs w:val="22"/>
          </w:rPr>
          <w:t xml:space="preserve"> </w:t>
        </w:r>
        <w:r w:rsidRPr="00E03893">
          <w:rPr>
            <w:rStyle w:val="Hyperlink"/>
            <w:szCs w:val="22"/>
          </w:rPr>
          <w:t>documents</w:t>
        </w:r>
      </w:hyperlink>
      <w:r w:rsidR="00820535" w:rsidRPr="00E03893">
        <w:rPr>
          <w:rStyle w:val="FootnoteReference"/>
          <w:color w:val="000000" w:themeColor="text1"/>
          <w:szCs w:val="22"/>
        </w:rPr>
        <w:footnoteReference w:id="2"/>
      </w:r>
      <w:r w:rsidRPr="00E03893">
        <w:rPr>
          <w:color w:val="000000" w:themeColor="text1"/>
          <w:szCs w:val="22"/>
        </w:rPr>
        <w:t xml:space="preserve"> </w:t>
      </w:r>
      <w:r w:rsidR="00681754" w:rsidRPr="00E03893">
        <w:rPr>
          <w:color w:val="000000" w:themeColor="text1"/>
          <w:szCs w:val="22"/>
        </w:rPr>
        <w:t xml:space="preserve">which informed the assessment </w:t>
      </w:r>
      <w:r w:rsidR="00681754">
        <w:rPr>
          <w:szCs w:val="22"/>
        </w:rPr>
        <w:t xml:space="preserve">of </w:t>
      </w:r>
      <w:r w:rsidR="00681754" w:rsidRPr="008A2B10">
        <w:rPr>
          <w:color w:val="000000" w:themeColor="text1"/>
          <w:szCs w:val="22"/>
        </w:rPr>
        <w:t xml:space="preserve">this </w:t>
      </w:r>
      <w:r w:rsidR="00E03893" w:rsidRPr="008A2B10">
        <w:rPr>
          <w:color w:val="000000" w:themeColor="text1"/>
          <w:szCs w:val="22"/>
        </w:rPr>
        <w:t>Application</w:t>
      </w:r>
      <w:r w:rsidRPr="008A2B10">
        <w:rPr>
          <w:color w:val="000000" w:themeColor="text1"/>
          <w:szCs w:val="22"/>
        </w:rPr>
        <w:t xml:space="preserve"> are </w:t>
      </w:r>
      <w:r w:rsidRPr="0089264A">
        <w:rPr>
          <w:szCs w:val="22"/>
        </w:rPr>
        <w:t xml:space="preserve">available on the FSANZ </w:t>
      </w:r>
      <w:r w:rsidRPr="008A2B10">
        <w:rPr>
          <w:color w:val="000000" w:themeColor="text1"/>
          <w:szCs w:val="22"/>
        </w:rPr>
        <w:t>website</w:t>
      </w:r>
      <w:r w:rsidR="00820535" w:rsidRPr="008A2B10">
        <w:rPr>
          <w:color w:val="000000" w:themeColor="text1"/>
          <w:szCs w:val="22"/>
        </w:rPr>
        <w:t>:</w:t>
      </w:r>
    </w:p>
    <w:p w14:paraId="2CCF0AF2" w14:textId="77777777" w:rsidR="0089264A" w:rsidRPr="008A2B10" w:rsidRDefault="0089264A" w:rsidP="00BE3661">
      <w:pPr>
        <w:widowControl/>
        <w:rPr>
          <w:color w:val="000000" w:themeColor="text1"/>
          <w:szCs w:val="22"/>
        </w:rPr>
      </w:pPr>
    </w:p>
    <w:p w14:paraId="1DE3A6F4" w14:textId="77777777" w:rsidR="0089264A" w:rsidRPr="008A2B10" w:rsidRDefault="00E03893" w:rsidP="00BE3661">
      <w:pPr>
        <w:widowControl/>
        <w:ind w:left="1134" w:hanging="1134"/>
        <w:rPr>
          <w:color w:val="000000" w:themeColor="text1"/>
        </w:rPr>
      </w:pPr>
      <w:r w:rsidRPr="008A2B10">
        <w:rPr>
          <w:color w:val="000000" w:themeColor="text1"/>
        </w:rPr>
        <w:t>SD1</w:t>
      </w:r>
      <w:r w:rsidRPr="008A2B10">
        <w:rPr>
          <w:color w:val="000000" w:themeColor="text1"/>
        </w:rPr>
        <w:tab/>
        <w:t>Safety Assessment Report</w:t>
      </w:r>
    </w:p>
    <w:p w14:paraId="4188AB98" w14:textId="45173B96" w:rsidR="00E03893" w:rsidRPr="008A2B10" w:rsidRDefault="000511ED" w:rsidP="00BE3661">
      <w:pPr>
        <w:widowControl/>
        <w:ind w:left="1134" w:hanging="1134"/>
        <w:rPr>
          <w:color w:val="000000" w:themeColor="text1"/>
        </w:rPr>
      </w:pPr>
      <w:r>
        <w:rPr>
          <w:color w:val="000000" w:themeColor="text1"/>
        </w:rPr>
        <w:t>SD2</w:t>
      </w:r>
      <w:r>
        <w:rPr>
          <w:color w:val="000000" w:themeColor="text1"/>
        </w:rPr>
        <w:tab/>
        <w:t>Nutrition Risk</w:t>
      </w:r>
      <w:r w:rsidR="00E03893" w:rsidRPr="008A2B10">
        <w:rPr>
          <w:color w:val="000000" w:themeColor="text1"/>
        </w:rPr>
        <w:t xml:space="preserve"> Assessment Report</w:t>
      </w:r>
    </w:p>
    <w:p w14:paraId="332BAE9A" w14:textId="77777777" w:rsidR="00051ED9" w:rsidRPr="008A2B10" w:rsidRDefault="00562917" w:rsidP="00BE3661">
      <w:pPr>
        <w:widowControl/>
        <w:rPr>
          <w:color w:val="000000" w:themeColor="text1"/>
        </w:rPr>
      </w:pPr>
      <w:r w:rsidRPr="008A2B10">
        <w:rPr>
          <w:color w:val="000000" w:themeColor="text1"/>
        </w:rPr>
        <w:br w:type="page"/>
      </w:r>
    </w:p>
    <w:p w14:paraId="2DD60F41" w14:textId="77777777" w:rsidR="00E063C6" w:rsidRDefault="00F33BB8" w:rsidP="00BE3661">
      <w:pPr>
        <w:pStyle w:val="Heading1"/>
        <w:widowControl/>
      </w:pPr>
      <w:bookmarkStart w:id="1" w:name="_Toc286391001"/>
      <w:bookmarkStart w:id="2" w:name="_Toc300933414"/>
      <w:bookmarkStart w:id="3" w:name="_Toc488316675"/>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08140B21" w14:textId="00C43DDB" w:rsidR="008A2B10" w:rsidRDefault="008A2B10" w:rsidP="00BE3661">
      <w:pPr>
        <w:widowControl/>
        <w:rPr>
          <w:color w:val="000000" w:themeColor="text1"/>
          <w:lang w:val="en-AU"/>
        </w:rPr>
      </w:pPr>
      <w:bookmarkStart w:id="9" w:name="_Toc286391003"/>
      <w:r w:rsidRPr="006E7F3B">
        <w:rPr>
          <w:color w:val="000000" w:themeColor="text1"/>
          <w:szCs w:val="22"/>
        </w:rPr>
        <w:t>Food Standards Australia New Zealand (FSANZ) received an Applicatio</w:t>
      </w:r>
      <w:r>
        <w:rPr>
          <w:color w:val="000000" w:themeColor="text1"/>
          <w:szCs w:val="22"/>
        </w:rPr>
        <w:t>n from the International Rice Research Institute on 16 November</w:t>
      </w:r>
      <w:r w:rsidRPr="006E7F3B">
        <w:rPr>
          <w:color w:val="000000" w:themeColor="text1"/>
          <w:szCs w:val="22"/>
        </w:rPr>
        <w:t xml:space="preserve"> 2016. The Applicant requested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include food from a new </w:t>
      </w:r>
      <w:r>
        <w:rPr>
          <w:color w:val="000000" w:themeColor="text1"/>
          <w:szCs w:val="22"/>
        </w:rPr>
        <w:t>genetically modified (GM) rice</w:t>
      </w:r>
      <w:r w:rsidRPr="006E7F3B">
        <w:rPr>
          <w:color w:val="000000" w:themeColor="text1"/>
          <w:szCs w:val="22"/>
        </w:rPr>
        <w:t xml:space="preserve"> (</w:t>
      </w:r>
      <w:r>
        <w:rPr>
          <w:i/>
          <w:color w:val="000000" w:themeColor="text1"/>
          <w:szCs w:val="22"/>
        </w:rPr>
        <w:t>Oryza sativa</w:t>
      </w:r>
      <w:r>
        <w:rPr>
          <w:color w:val="000000" w:themeColor="text1"/>
          <w:szCs w:val="22"/>
        </w:rPr>
        <w:t xml:space="preserve">) line, GR2E. </w:t>
      </w:r>
      <w:r w:rsidRPr="00C022D7">
        <w:rPr>
          <w:color w:val="000000" w:themeColor="text1"/>
        </w:rPr>
        <w:t xml:space="preserve">This rice line has been genetically modified </w:t>
      </w:r>
      <w:r w:rsidR="00E01E1A">
        <w:rPr>
          <w:color w:val="000000" w:themeColor="text1"/>
        </w:rPr>
        <w:t>to produce</w:t>
      </w:r>
      <w:r w:rsidRPr="00C022D7">
        <w:rPr>
          <w:color w:val="000000" w:themeColor="text1"/>
        </w:rPr>
        <w:t xml:space="preserve"> </w:t>
      </w:r>
      <w:r w:rsidR="00DE4B31">
        <w:rPr>
          <w:color w:val="000000" w:themeColor="text1"/>
        </w:rPr>
        <w:t>beta (</w:t>
      </w:r>
      <w:r w:rsidRPr="00C022D7">
        <w:rPr>
          <w:rFonts w:cs="Arial"/>
          <w:color w:val="000000" w:themeColor="text1"/>
        </w:rPr>
        <w:t>β</w:t>
      </w:r>
      <w:r w:rsidR="00DE4B31">
        <w:rPr>
          <w:rFonts w:cs="Arial"/>
          <w:color w:val="000000" w:themeColor="text1"/>
        </w:rPr>
        <w:t>)</w:t>
      </w:r>
      <w:r w:rsidRPr="00C022D7">
        <w:rPr>
          <w:color w:val="000000" w:themeColor="text1"/>
        </w:rPr>
        <w:t>-carotene</w:t>
      </w:r>
      <w:r w:rsidRPr="00C022D7">
        <w:rPr>
          <w:color w:val="000000" w:themeColor="text1"/>
          <w:lang w:val="en-AU"/>
        </w:rPr>
        <w:t xml:space="preserve"> (</w:t>
      </w:r>
      <w:r w:rsidR="008F29DB">
        <w:rPr>
          <w:color w:val="000000" w:themeColor="text1"/>
          <w:lang w:val="en-AU"/>
        </w:rPr>
        <w:t>the predominant</w:t>
      </w:r>
      <w:r w:rsidRPr="00C022D7">
        <w:rPr>
          <w:color w:val="000000" w:themeColor="text1"/>
          <w:lang w:val="en-AU"/>
        </w:rPr>
        <w:t xml:space="preserve"> form of provitamin A) </w:t>
      </w:r>
      <w:r w:rsidR="00660704">
        <w:rPr>
          <w:color w:val="000000" w:themeColor="text1"/>
          <w:lang w:val="en-AU"/>
        </w:rPr>
        <w:t>and other minor</w:t>
      </w:r>
      <w:r w:rsidR="008F29DB">
        <w:rPr>
          <w:color w:val="000000" w:themeColor="text1"/>
          <w:lang w:val="en-AU"/>
        </w:rPr>
        <w:t xml:space="preserve"> provitamin </w:t>
      </w:r>
      <w:proofErr w:type="gramStart"/>
      <w:r w:rsidR="008F29DB">
        <w:rPr>
          <w:color w:val="000000" w:themeColor="text1"/>
          <w:lang w:val="en-AU"/>
        </w:rPr>
        <w:t>A</w:t>
      </w:r>
      <w:proofErr w:type="gramEnd"/>
      <w:r w:rsidR="00660704">
        <w:rPr>
          <w:color w:val="000000" w:themeColor="text1"/>
          <w:lang w:val="en-AU"/>
        </w:rPr>
        <w:t xml:space="preserve"> carotenoids </w:t>
      </w:r>
      <w:r w:rsidRPr="00C022D7">
        <w:rPr>
          <w:color w:val="000000" w:themeColor="text1"/>
          <w:lang w:val="en-AU"/>
        </w:rPr>
        <w:t>in the endosperm of the rice grain.</w:t>
      </w:r>
    </w:p>
    <w:p w14:paraId="5206E1B1" w14:textId="77777777" w:rsidR="008A2B10" w:rsidRDefault="008A2B10" w:rsidP="00BE3661">
      <w:pPr>
        <w:widowControl/>
        <w:rPr>
          <w:color w:val="000000" w:themeColor="text1"/>
          <w:lang w:bidi="ar-SA"/>
        </w:rPr>
      </w:pPr>
    </w:p>
    <w:p w14:paraId="3E9FE107" w14:textId="7F09A6A2" w:rsidR="000611DE" w:rsidRDefault="000611DE" w:rsidP="00BE3661">
      <w:pPr>
        <w:widowControl/>
        <w:rPr>
          <w:color w:val="000000" w:themeColor="text1"/>
        </w:rPr>
      </w:pPr>
      <w:r>
        <w:rPr>
          <w:color w:val="000000" w:themeColor="text1"/>
        </w:rPr>
        <w:t>GR2E</w:t>
      </w:r>
      <w:r w:rsidRPr="00DA1ABB">
        <w:rPr>
          <w:color w:val="000000" w:themeColor="text1"/>
        </w:rPr>
        <w:t xml:space="preserve"> is a new food crop designed to</w:t>
      </w:r>
      <w:r>
        <w:rPr>
          <w:color w:val="000000" w:themeColor="text1"/>
        </w:rPr>
        <w:t xml:space="preserve"> mitigate vitamin A deficiency in developing countries. GR2E is not intended </w:t>
      </w:r>
      <w:r w:rsidR="00A17FEF">
        <w:rPr>
          <w:color w:val="000000" w:themeColor="text1"/>
        </w:rPr>
        <w:t xml:space="preserve">to be used in </w:t>
      </w:r>
      <w:r>
        <w:rPr>
          <w:color w:val="000000" w:themeColor="text1"/>
        </w:rPr>
        <w:t>the Australian or New Zealand food supplies</w:t>
      </w:r>
      <w:r w:rsidR="00A17FEF">
        <w:rPr>
          <w:color w:val="000000" w:themeColor="text1"/>
        </w:rPr>
        <w:t>. Approving this crop will p</w:t>
      </w:r>
      <w:r>
        <w:rPr>
          <w:color w:val="000000" w:themeColor="text1"/>
        </w:rPr>
        <w:t xml:space="preserve">revent trade disruption should </w:t>
      </w:r>
      <w:r w:rsidR="008F211A">
        <w:rPr>
          <w:color w:val="000000" w:themeColor="text1"/>
        </w:rPr>
        <w:t xml:space="preserve">GR2E </w:t>
      </w:r>
      <w:r w:rsidR="00A17FEF">
        <w:rPr>
          <w:color w:val="000000" w:themeColor="text1"/>
        </w:rPr>
        <w:t xml:space="preserve">be </w:t>
      </w:r>
      <w:r>
        <w:rPr>
          <w:color w:val="000000" w:themeColor="text1"/>
        </w:rPr>
        <w:t>inadvertent</w:t>
      </w:r>
      <w:r w:rsidR="00A17FEF">
        <w:rPr>
          <w:color w:val="000000" w:themeColor="text1"/>
        </w:rPr>
        <w:t>ly</w:t>
      </w:r>
      <w:r>
        <w:rPr>
          <w:color w:val="000000" w:themeColor="text1"/>
        </w:rPr>
        <w:t xml:space="preserve"> presen</w:t>
      </w:r>
      <w:r w:rsidR="00A17FEF">
        <w:rPr>
          <w:color w:val="000000" w:themeColor="text1"/>
        </w:rPr>
        <w:t xml:space="preserve">t </w:t>
      </w:r>
      <w:r>
        <w:rPr>
          <w:color w:val="000000" w:themeColor="text1"/>
        </w:rPr>
        <w:t>in imported shipments of milled rice.</w:t>
      </w:r>
    </w:p>
    <w:p w14:paraId="0CF3C96B" w14:textId="77777777" w:rsidR="000611DE" w:rsidRPr="002933AF" w:rsidRDefault="000611DE" w:rsidP="00BE3661">
      <w:pPr>
        <w:widowControl/>
        <w:rPr>
          <w:color w:val="000000" w:themeColor="text1"/>
          <w:lang w:bidi="ar-SA"/>
        </w:rPr>
      </w:pPr>
    </w:p>
    <w:p w14:paraId="6D0D15B8" w14:textId="77777777" w:rsidR="008A2B10" w:rsidRPr="002933AF" w:rsidRDefault="008A2B10" w:rsidP="00BE3661">
      <w:pPr>
        <w:widowControl/>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2A072C8E" w14:textId="77777777" w:rsidR="008A2B10" w:rsidRPr="002933AF" w:rsidRDefault="008A2B10" w:rsidP="00BE3661">
      <w:pPr>
        <w:widowControl/>
        <w:rPr>
          <w:color w:val="000000" w:themeColor="text1"/>
          <w:lang w:bidi="ar-SA"/>
        </w:rPr>
      </w:pPr>
    </w:p>
    <w:p w14:paraId="70450F09" w14:textId="3AD7B9A9" w:rsidR="008A2B10" w:rsidRPr="002933AF" w:rsidRDefault="008A2B10" w:rsidP="00BE3661">
      <w:pPr>
        <w:widowControl/>
        <w:rPr>
          <w:color w:val="000000" w:themeColor="text1"/>
          <w:lang w:bidi="ar-SA"/>
        </w:rPr>
      </w:pPr>
      <w:r>
        <w:rPr>
          <w:color w:val="000000" w:themeColor="text1"/>
          <w:lang w:bidi="ar-SA"/>
        </w:rPr>
        <w:t xml:space="preserve">The </w:t>
      </w:r>
      <w:r w:rsidR="00597357">
        <w:rPr>
          <w:color w:val="000000" w:themeColor="text1"/>
          <w:lang w:bidi="ar-SA"/>
        </w:rPr>
        <w:t>S</w:t>
      </w:r>
      <w:r>
        <w:rPr>
          <w:color w:val="000000" w:themeColor="text1"/>
          <w:lang w:bidi="ar-SA"/>
        </w:rPr>
        <w:t xml:space="preserve">afety </w:t>
      </w:r>
      <w:r w:rsidR="00597357">
        <w:rPr>
          <w:color w:val="000000" w:themeColor="text1"/>
          <w:lang w:bidi="ar-SA"/>
        </w:rPr>
        <w:t>A</w:t>
      </w:r>
      <w:r>
        <w:rPr>
          <w:color w:val="000000" w:themeColor="text1"/>
          <w:lang w:bidi="ar-SA"/>
        </w:rPr>
        <w:t>ssessment of GM rice line GR2E</w:t>
      </w:r>
      <w:r w:rsidRPr="002933AF">
        <w:rPr>
          <w:color w:val="000000" w:themeColor="text1"/>
          <w:lang w:bidi="ar-SA"/>
        </w:rPr>
        <w:t xml:space="preserve"> is provided in Supporting Document 1</w:t>
      </w:r>
      <w:r>
        <w:rPr>
          <w:color w:val="000000" w:themeColor="text1"/>
          <w:lang w:bidi="ar-SA"/>
        </w:rPr>
        <w:t xml:space="preserve"> and </w:t>
      </w:r>
      <w:r w:rsidR="00BB0219">
        <w:rPr>
          <w:color w:val="000000" w:themeColor="text1"/>
          <w:lang w:bidi="ar-SA"/>
        </w:rPr>
        <w:t>the</w:t>
      </w:r>
      <w:r>
        <w:rPr>
          <w:color w:val="000000" w:themeColor="text1"/>
          <w:lang w:bidi="ar-SA"/>
        </w:rPr>
        <w:t xml:space="preserve"> Nutrition </w:t>
      </w:r>
      <w:r w:rsidR="00597357">
        <w:rPr>
          <w:color w:val="000000" w:themeColor="text1"/>
          <w:lang w:bidi="ar-SA"/>
        </w:rPr>
        <w:t xml:space="preserve">Risk </w:t>
      </w:r>
      <w:r>
        <w:rPr>
          <w:color w:val="000000" w:themeColor="text1"/>
          <w:lang w:bidi="ar-SA"/>
        </w:rPr>
        <w:t>Assessment is provided in Supporting Document 2</w:t>
      </w:r>
      <w:r w:rsidRPr="002933AF">
        <w:rPr>
          <w:color w:val="000000" w:themeColor="text1"/>
          <w:lang w:bidi="ar-SA"/>
        </w:rPr>
        <w:t xml:space="preserve">. No potential public health and safety concerns have been identified. Based on the data provided in the present Application, and other available information, food derived from line </w:t>
      </w:r>
      <w:r>
        <w:rPr>
          <w:color w:val="000000" w:themeColor="text1"/>
          <w:lang w:bidi="ar-SA"/>
        </w:rPr>
        <w:t>GR2E</w:t>
      </w:r>
      <w:r w:rsidRPr="002933AF">
        <w:rPr>
          <w:color w:val="000000" w:themeColor="text1"/>
          <w:lang w:bidi="ar-SA"/>
        </w:rPr>
        <w:t xml:space="preserve"> is considered to be as safe for human consumption as food derived from </w:t>
      </w:r>
      <w:r>
        <w:rPr>
          <w:color w:val="000000" w:themeColor="text1"/>
          <w:lang w:bidi="ar-SA"/>
        </w:rPr>
        <w:t>conventional rice</w:t>
      </w:r>
      <w:r w:rsidRPr="002933AF">
        <w:rPr>
          <w:color w:val="000000" w:themeColor="text1"/>
          <w:lang w:bidi="ar-SA"/>
        </w:rPr>
        <w:t xml:space="preserve"> cultivars.</w:t>
      </w:r>
    </w:p>
    <w:p w14:paraId="245EC91A" w14:textId="77777777" w:rsidR="008A2B10" w:rsidRPr="002933AF" w:rsidRDefault="008A2B10" w:rsidP="00BE3661">
      <w:pPr>
        <w:widowControl/>
        <w:rPr>
          <w:color w:val="000000" w:themeColor="text1"/>
          <w:lang w:bidi="ar-SA"/>
        </w:rPr>
      </w:pPr>
    </w:p>
    <w:p w14:paraId="6355B572" w14:textId="77777777" w:rsidR="008A2B10" w:rsidRPr="002933AF" w:rsidRDefault="008A2B10" w:rsidP="00BE3661">
      <w:pPr>
        <w:widowControl/>
        <w:rPr>
          <w:color w:val="000000" w:themeColor="text1"/>
          <w:lang w:bidi="ar-SA"/>
        </w:rPr>
      </w:pPr>
      <w:r w:rsidRPr="002933AF">
        <w:rPr>
          <w:color w:val="000000" w:themeColor="text1"/>
          <w:lang w:bidi="ar-SA"/>
        </w:rPr>
        <w:t>FSANZ has prepared a draft variation to Schedule 26 that includes a</w:t>
      </w:r>
      <w:r>
        <w:rPr>
          <w:color w:val="000000" w:themeColor="text1"/>
          <w:lang w:bidi="ar-SA"/>
        </w:rPr>
        <w:t xml:space="preserve"> reference to food derived from provitamin </w:t>
      </w:r>
      <w:proofErr w:type="gramStart"/>
      <w:r>
        <w:rPr>
          <w:color w:val="000000" w:themeColor="text1"/>
          <w:lang w:bidi="ar-SA"/>
        </w:rPr>
        <w:t>A</w:t>
      </w:r>
      <w:proofErr w:type="gramEnd"/>
      <w:r>
        <w:rPr>
          <w:color w:val="000000" w:themeColor="text1"/>
          <w:lang w:bidi="ar-SA"/>
        </w:rPr>
        <w:t xml:space="preserve"> rice line GR2E.</w:t>
      </w:r>
      <w:r w:rsidRPr="002933AF">
        <w:rPr>
          <w:color w:val="000000" w:themeColor="text1"/>
          <w:lang w:bidi="ar-SA"/>
        </w:rPr>
        <w:t xml:space="preserve"> </w:t>
      </w:r>
    </w:p>
    <w:p w14:paraId="6A1ECFCC" w14:textId="77777777" w:rsidR="0053464E" w:rsidRDefault="0053464E" w:rsidP="00BE3661">
      <w:pPr>
        <w:widowControl/>
      </w:pPr>
      <w:r>
        <w:br w:type="page"/>
      </w:r>
    </w:p>
    <w:p w14:paraId="3B16A8D7" w14:textId="77777777" w:rsidR="002A5F8B" w:rsidRPr="007B0B05" w:rsidRDefault="00F33BB8" w:rsidP="00BE3661">
      <w:pPr>
        <w:pStyle w:val="Heading1"/>
        <w:widowControl/>
        <w:rPr>
          <w:color w:val="000000" w:themeColor="text1"/>
        </w:rPr>
      </w:pPr>
      <w:bookmarkStart w:id="10" w:name="_Toc300933417"/>
      <w:bookmarkStart w:id="11" w:name="_Toc488316676"/>
      <w:r w:rsidRPr="007B0B05">
        <w:rPr>
          <w:color w:val="000000" w:themeColor="text1"/>
        </w:rPr>
        <w:lastRenderedPageBreak/>
        <w:t>1</w:t>
      </w:r>
      <w:r w:rsidR="001542D8" w:rsidRPr="007B0B05">
        <w:rPr>
          <w:color w:val="000000" w:themeColor="text1"/>
        </w:rPr>
        <w:tab/>
      </w:r>
      <w:r w:rsidR="002A5F8B" w:rsidRPr="007B0B05">
        <w:rPr>
          <w:color w:val="000000" w:themeColor="text1"/>
        </w:rPr>
        <w:t>Introduction</w:t>
      </w:r>
      <w:bookmarkEnd w:id="9"/>
      <w:bookmarkEnd w:id="10"/>
      <w:bookmarkEnd w:id="11"/>
    </w:p>
    <w:p w14:paraId="6F5810E0" w14:textId="77777777" w:rsidR="0053464E" w:rsidRPr="007B0B05" w:rsidRDefault="00F33BB8" w:rsidP="00BE3661">
      <w:pPr>
        <w:pStyle w:val="Heading2"/>
        <w:widowControl/>
        <w:rPr>
          <w:color w:val="000000" w:themeColor="text1"/>
        </w:rPr>
      </w:pPr>
      <w:bookmarkStart w:id="12" w:name="_Toc300761890"/>
      <w:bookmarkStart w:id="13" w:name="_Toc488316677"/>
      <w:bookmarkStart w:id="14" w:name="_Toc300933419"/>
      <w:r w:rsidRPr="007B0B05">
        <w:rPr>
          <w:color w:val="000000" w:themeColor="text1"/>
        </w:rPr>
        <w:t>1</w:t>
      </w:r>
      <w:r w:rsidR="0053464E" w:rsidRPr="007B0B05">
        <w:rPr>
          <w:color w:val="000000" w:themeColor="text1"/>
        </w:rPr>
        <w:t>.1</w:t>
      </w:r>
      <w:r w:rsidR="0053464E" w:rsidRPr="007B0B05">
        <w:rPr>
          <w:color w:val="000000" w:themeColor="text1"/>
        </w:rPr>
        <w:tab/>
        <w:t>The Applicant</w:t>
      </w:r>
      <w:bookmarkEnd w:id="12"/>
      <w:bookmarkEnd w:id="13"/>
      <w:r w:rsidR="00256D65" w:rsidRPr="007B0B05">
        <w:rPr>
          <w:color w:val="000000" w:themeColor="text1"/>
        </w:rPr>
        <w:t xml:space="preserve"> </w:t>
      </w:r>
      <w:bookmarkEnd w:id="14"/>
    </w:p>
    <w:p w14:paraId="208C5A3D" w14:textId="36818FFC" w:rsidR="008A2B10" w:rsidRPr="007B0B05" w:rsidRDefault="008A2B10" w:rsidP="00BE3661">
      <w:pPr>
        <w:widowControl/>
        <w:autoSpaceDE w:val="0"/>
        <w:autoSpaceDN w:val="0"/>
        <w:adjustRightInd w:val="0"/>
        <w:rPr>
          <w:rFonts w:ascii="CharterBT-Roman" w:hAnsi="CharterBT-Roman" w:cs="CharterBT-Roman"/>
          <w:color w:val="000000" w:themeColor="text1"/>
          <w:szCs w:val="22"/>
          <w:lang w:eastAsia="en-GB" w:bidi="ar-SA"/>
        </w:rPr>
      </w:pPr>
      <w:bookmarkStart w:id="15" w:name="_Toc300761891"/>
      <w:bookmarkStart w:id="16" w:name="_Toc300933420"/>
      <w:r w:rsidRPr="007B0B05">
        <w:rPr>
          <w:rFonts w:ascii="CharterBT-Roman" w:hAnsi="CharterBT-Roman" w:cs="CharterBT-Roman"/>
          <w:color w:val="000000" w:themeColor="text1"/>
          <w:szCs w:val="22"/>
          <w:lang w:eastAsia="en-GB" w:bidi="ar-SA"/>
        </w:rPr>
        <w:t>The International Rice Research Institute (IRRI) is an independent, non</w:t>
      </w:r>
      <w:r w:rsidR="00A17FEF">
        <w:rPr>
          <w:rFonts w:ascii="CharterBT-Roman" w:hAnsi="CharterBT-Roman" w:cs="CharterBT-Roman"/>
          <w:color w:val="000000" w:themeColor="text1"/>
          <w:szCs w:val="22"/>
          <w:lang w:eastAsia="en-GB" w:bidi="ar-SA"/>
        </w:rPr>
        <w:t>-</w:t>
      </w:r>
      <w:r w:rsidRPr="007B0B05">
        <w:rPr>
          <w:rFonts w:ascii="CharterBT-Roman" w:hAnsi="CharterBT-Roman" w:cs="CharterBT-Roman"/>
          <w:color w:val="000000" w:themeColor="text1"/>
          <w:szCs w:val="22"/>
          <w:lang w:eastAsia="en-GB" w:bidi="ar-SA"/>
        </w:rPr>
        <w:t>profit, research and educational institute dedicated to</w:t>
      </w:r>
      <w:r w:rsidR="00F06DD7">
        <w:rPr>
          <w:rFonts w:ascii="CharterBT-Roman" w:hAnsi="CharterBT-Roman" w:cs="CharterBT-Roman"/>
          <w:color w:val="000000" w:themeColor="text1"/>
          <w:szCs w:val="22"/>
          <w:lang w:eastAsia="en-GB" w:bidi="ar-SA"/>
        </w:rPr>
        <w:t>:</w:t>
      </w:r>
      <w:r w:rsidRPr="007B0B05">
        <w:rPr>
          <w:rFonts w:ascii="CharterBT-Roman" w:hAnsi="CharterBT-Roman" w:cs="CharterBT-Roman"/>
          <w:color w:val="000000" w:themeColor="text1"/>
          <w:szCs w:val="22"/>
          <w:lang w:eastAsia="en-GB" w:bidi="ar-SA"/>
        </w:rPr>
        <w:t xml:space="preserve"> reducing poverty and hunger through rice science; improving the health and welfare of rice farmers and consumers; and protecting the rice-growing environment for future generations.</w:t>
      </w:r>
    </w:p>
    <w:p w14:paraId="436E8930" w14:textId="77777777" w:rsidR="0053464E" w:rsidRPr="007B0B05" w:rsidRDefault="00F33BB8" w:rsidP="00BE3661">
      <w:pPr>
        <w:pStyle w:val="Heading2"/>
        <w:widowControl/>
        <w:rPr>
          <w:color w:val="000000" w:themeColor="text1"/>
        </w:rPr>
      </w:pPr>
      <w:bookmarkStart w:id="17" w:name="_Toc488316678"/>
      <w:r w:rsidRPr="007B0B05">
        <w:rPr>
          <w:color w:val="000000" w:themeColor="text1"/>
        </w:rPr>
        <w:t>1</w:t>
      </w:r>
      <w:r w:rsidR="0053464E" w:rsidRPr="007B0B05">
        <w:rPr>
          <w:color w:val="000000" w:themeColor="text1"/>
        </w:rPr>
        <w:t>.2</w:t>
      </w:r>
      <w:r w:rsidR="0053464E" w:rsidRPr="007B0B05">
        <w:rPr>
          <w:color w:val="000000" w:themeColor="text1"/>
        </w:rPr>
        <w:tab/>
        <w:t>The Application</w:t>
      </w:r>
      <w:bookmarkEnd w:id="15"/>
      <w:bookmarkEnd w:id="16"/>
      <w:bookmarkEnd w:id="17"/>
    </w:p>
    <w:p w14:paraId="0291C4AB" w14:textId="35F6551C" w:rsidR="0053464E" w:rsidRDefault="008A2B10" w:rsidP="00BE3661">
      <w:pPr>
        <w:widowControl/>
        <w:rPr>
          <w:color w:val="000000" w:themeColor="text1"/>
        </w:rPr>
      </w:pPr>
      <w:r w:rsidRPr="007B0B05">
        <w:rPr>
          <w:color w:val="000000" w:themeColor="text1"/>
        </w:rPr>
        <w:t xml:space="preserve">Application A1138 was submitted by IRRI on 16 November 2016. </w:t>
      </w:r>
      <w:r w:rsidR="007B0B05" w:rsidRPr="007B0B05">
        <w:rPr>
          <w:color w:val="000000" w:themeColor="text1"/>
        </w:rPr>
        <w:t xml:space="preserve">It seeks a variation to Schedule 26 </w:t>
      </w:r>
      <w:r w:rsidR="007B0B05" w:rsidRPr="007B0B05">
        <w:rPr>
          <w:color w:val="000000" w:themeColor="text1"/>
          <w:szCs w:val="22"/>
        </w:rPr>
        <w:t xml:space="preserve">in the </w:t>
      </w:r>
      <w:r w:rsidR="007B0B05" w:rsidRPr="007B0B05">
        <w:rPr>
          <w:i/>
          <w:color w:val="000000" w:themeColor="text1"/>
          <w:szCs w:val="22"/>
        </w:rPr>
        <w:t>Australia New Zealand Food Standards Code</w:t>
      </w:r>
      <w:r w:rsidR="007B0B05" w:rsidRPr="007B0B05">
        <w:rPr>
          <w:color w:val="000000" w:themeColor="text1"/>
          <w:szCs w:val="22"/>
        </w:rPr>
        <w:t xml:space="preserve"> (the Code) to include food from a new genetically modified (GM) rice (</w:t>
      </w:r>
      <w:r w:rsidR="007B0B05" w:rsidRPr="007B0B05">
        <w:rPr>
          <w:i/>
          <w:color w:val="000000" w:themeColor="text1"/>
          <w:szCs w:val="22"/>
        </w:rPr>
        <w:t>Oryza sativa</w:t>
      </w:r>
      <w:r w:rsidR="007B0B05" w:rsidRPr="007B0B05">
        <w:rPr>
          <w:color w:val="000000" w:themeColor="text1"/>
          <w:szCs w:val="22"/>
        </w:rPr>
        <w:t xml:space="preserve">) line, GR2E. This rice line has been genetically modified to </w:t>
      </w:r>
      <w:r w:rsidR="007B0B05" w:rsidRPr="007B0B05">
        <w:rPr>
          <w:color w:val="000000" w:themeColor="text1"/>
        </w:rPr>
        <w:t xml:space="preserve">produce </w:t>
      </w:r>
      <w:r w:rsidR="00DE4B31">
        <w:rPr>
          <w:color w:val="000000" w:themeColor="text1"/>
        </w:rPr>
        <w:t>beta (</w:t>
      </w:r>
      <w:r w:rsidR="007B0B05" w:rsidRPr="007B0B05">
        <w:rPr>
          <w:rFonts w:cs="Arial"/>
          <w:color w:val="000000" w:themeColor="text1"/>
        </w:rPr>
        <w:t>β</w:t>
      </w:r>
      <w:r w:rsidR="00DE4B31">
        <w:rPr>
          <w:rFonts w:cs="Arial"/>
          <w:color w:val="000000" w:themeColor="text1"/>
        </w:rPr>
        <w:t>)</w:t>
      </w:r>
      <w:r w:rsidR="007B0B05" w:rsidRPr="007B0B05">
        <w:rPr>
          <w:color w:val="000000" w:themeColor="text1"/>
        </w:rPr>
        <w:t>-carotene</w:t>
      </w:r>
      <w:r w:rsidR="007B0B05" w:rsidRPr="007B0B05">
        <w:rPr>
          <w:color w:val="000000" w:themeColor="text1"/>
          <w:lang w:val="en-AU"/>
        </w:rPr>
        <w:t xml:space="preserve"> (</w:t>
      </w:r>
      <w:r w:rsidR="00BC262B">
        <w:rPr>
          <w:color w:val="000000" w:themeColor="text1"/>
          <w:lang w:val="en-AU"/>
        </w:rPr>
        <w:t>the predominant</w:t>
      </w:r>
      <w:r w:rsidR="007B0B05" w:rsidRPr="007B0B05">
        <w:rPr>
          <w:color w:val="000000" w:themeColor="text1"/>
          <w:lang w:val="en-AU"/>
        </w:rPr>
        <w:t xml:space="preserve"> form of provitamin A) </w:t>
      </w:r>
      <w:r w:rsidR="00B70011">
        <w:rPr>
          <w:color w:val="000000" w:themeColor="text1"/>
          <w:lang w:val="en-AU"/>
        </w:rPr>
        <w:t xml:space="preserve">and, to a lesser extent, the two other forms of provitamin </w:t>
      </w:r>
      <w:proofErr w:type="gramStart"/>
      <w:r w:rsidR="00B70011">
        <w:rPr>
          <w:color w:val="000000" w:themeColor="text1"/>
          <w:lang w:val="en-AU"/>
        </w:rPr>
        <w:t>A</w:t>
      </w:r>
      <w:proofErr w:type="gramEnd"/>
      <w:r w:rsidR="00B70011">
        <w:rPr>
          <w:color w:val="000000" w:themeColor="text1"/>
          <w:lang w:val="en-AU"/>
        </w:rPr>
        <w:t xml:space="preserve"> (</w:t>
      </w:r>
      <w:r w:rsidR="00B70011">
        <w:rPr>
          <w:rFonts w:cs="Arial"/>
          <w:color w:val="000000" w:themeColor="text1"/>
          <w:lang w:val="en-AU"/>
        </w:rPr>
        <w:t>α-carotene and β-cryptoxanthin) i</w:t>
      </w:r>
      <w:r w:rsidR="007B0B05" w:rsidRPr="007B0B05">
        <w:rPr>
          <w:color w:val="000000" w:themeColor="text1"/>
          <w:lang w:val="en-AU"/>
        </w:rPr>
        <w:t>n the endosperm of the rice grain. This trait has been achieved through expression of a phytoene synthase protein (PSY1) encoded by a gene (</w:t>
      </w:r>
      <w:r w:rsidR="007B0B05" w:rsidRPr="007B0B05">
        <w:rPr>
          <w:i/>
          <w:color w:val="000000" w:themeColor="text1"/>
          <w:lang w:val="en-AU"/>
        </w:rPr>
        <w:t>Zmpsy1</w:t>
      </w:r>
      <w:r w:rsidR="007B0B05" w:rsidRPr="007B0B05">
        <w:rPr>
          <w:color w:val="000000" w:themeColor="text1"/>
          <w:lang w:val="en-AU"/>
        </w:rPr>
        <w:t xml:space="preserve">) from </w:t>
      </w:r>
      <w:r w:rsidR="007B0B05" w:rsidRPr="007B0B05">
        <w:rPr>
          <w:i/>
          <w:color w:val="000000" w:themeColor="text1"/>
          <w:lang w:val="en-AU"/>
        </w:rPr>
        <w:t>Zea mays</w:t>
      </w:r>
      <w:r w:rsidR="007B0B05" w:rsidRPr="007B0B05">
        <w:rPr>
          <w:color w:val="000000" w:themeColor="text1"/>
          <w:lang w:val="en-AU"/>
        </w:rPr>
        <w:t xml:space="preserve"> (corn) and a carotene desaturase protein (CRTI) encoded by a gene (</w:t>
      </w:r>
      <w:r w:rsidR="007B0B05" w:rsidRPr="007B0B05">
        <w:rPr>
          <w:i/>
          <w:color w:val="000000" w:themeColor="text1"/>
          <w:lang w:val="en-AU"/>
        </w:rPr>
        <w:t>crtI</w:t>
      </w:r>
      <w:r w:rsidR="007B0B05" w:rsidRPr="007B0B05">
        <w:rPr>
          <w:color w:val="000000" w:themeColor="text1"/>
          <w:lang w:val="en-AU"/>
        </w:rPr>
        <w:t xml:space="preserve">) from the bacterium </w:t>
      </w:r>
      <w:r w:rsidR="007B0B05" w:rsidRPr="007B0B05">
        <w:rPr>
          <w:i/>
          <w:color w:val="000000" w:themeColor="text1"/>
          <w:lang w:val="en-AU"/>
        </w:rPr>
        <w:t>Pantoea ananatis</w:t>
      </w:r>
      <w:r w:rsidR="007B0B05" w:rsidRPr="007B0B05">
        <w:rPr>
          <w:color w:val="000000" w:themeColor="text1"/>
          <w:lang w:val="en-AU"/>
        </w:rPr>
        <w:t xml:space="preserve">. These two proteins, normally </w:t>
      </w:r>
      <w:r w:rsidR="00645FD6">
        <w:rPr>
          <w:color w:val="000000" w:themeColor="text1"/>
          <w:lang w:val="en-AU"/>
        </w:rPr>
        <w:t xml:space="preserve">absent </w:t>
      </w:r>
      <w:r w:rsidR="007B0B05" w:rsidRPr="007B0B05">
        <w:rPr>
          <w:color w:val="000000" w:themeColor="text1"/>
          <w:lang w:val="en-AU"/>
        </w:rPr>
        <w:t>in rice endosperm, supply the necessary intermedia</w:t>
      </w:r>
      <w:r w:rsidR="00E01E1A">
        <w:rPr>
          <w:color w:val="000000" w:themeColor="text1"/>
          <w:lang w:val="en-AU"/>
        </w:rPr>
        <w:t>t</w:t>
      </w:r>
      <w:r w:rsidR="007B0B05" w:rsidRPr="007B0B05">
        <w:rPr>
          <w:color w:val="000000" w:themeColor="text1"/>
          <w:lang w:val="en-AU"/>
        </w:rPr>
        <w:t xml:space="preserve">es to support a functional </w:t>
      </w:r>
      <w:r w:rsidR="007B0B05" w:rsidRPr="007B0B05">
        <w:rPr>
          <w:rFonts w:cs="Arial"/>
          <w:color w:val="000000" w:themeColor="text1"/>
        </w:rPr>
        <w:t>β</w:t>
      </w:r>
      <w:r w:rsidR="007B0B05" w:rsidRPr="007B0B05">
        <w:rPr>
          <w:color w:val="000000" w:themeColor="text1"/>
        </w:rPr>
        <w:t>-carotene biosynthetic pathway.</w:t>
      </w:r>
      <w:r w:rsidR="007B0B05">
        <w:rPr>
          <w:color w:val="000000" w:themeColor="text1"/>
        </w:rPr>
        <w:t xml:space="preserve"> </w:t>
      </w:r>
      <w:r w:rsidR="007B0B05" w:rsidRPr="00FB7680">
        <w:rPr>
          <w:color w:val="000000" w:themeColor="text1"/>
          <w:lang w:val="en-AU"/>
        </w:rPr>
        <w:t>The collective name ‘Golden Rice’ has been used to describe a number of versions of rice containing these two proteins (</w:t>
      </w:r>
      <w:r w:rsidR="00660704" w:rsidRPr="00FB7680">
        <w:rPr>
          <w:color w:val="000000" w:themeColor="text1"/>
          <w:lang w:val="en-AU"/>
        </w:rPr>
        <w:t>not necessarily from the same genes</w:t>
      </w:r>
      <w:r w:rsidR="00660704">
        <w:rPr>
          <w:color w:val="000000" w:themeColor="text1"/>
          <w:lang w:val="en-AU"/>
        </w:rPr>
        <w:t xml:space="preserve"> as used in GR2E</w:t>
      </w:r>
      <w:r w:rsidR="00660704" w:rsidRPr="00FB7680">
        <w:rPr>
          <w:color w:val="000000" w:themeColor="text1"/>
          <w:lang w:val="en-AU"/>
        </w:rPr>
        <w:t>).</w:t>
      </w:r>
    </w:p>
    <w:p w14:paraId="2D327983" w14:textId="77777777" w:rsidR="007B0B05" w:rsidRDefault="007B0B05" w:rsidP="00BE3661">
      <w:pPr>
        <w:widowControl/>
        <w:rPr>
          <w:color w:val="000000" w:themeColor="text1"/>
        </w:rPr>
      </w:pPr>
    </w:p>
    <w:p w14:paraId="046C6293" w14:textId="61AC7208" w:rsidR="007B0B05" w:rsidRDefault="007B0B05" w:rsidP="00BE3661">
      <w:pPr>
        <w:widowControl/>
        <w:rPr>
          <w:szCs w:val="22"/>
          <w:lang w:val="en-US"/>
        </w:rPr>
      </w:pPr>
      <w:r w:rsidRPr="00FB7680">
        <w:rPr>
          <w:lang w:val="en-US"/>
        </w:rPr>
        <w:t xml:space="preserve">GR2E also contains the bacterial </w:t>
      </w:r>
      <w:r w:rsidRPr="00FB7680">
        <w:rPr>
          <w:i/>
          <w:lang w:val="en-US"/>
        </w:rPr>
        <w:t>phosphomannose isomerase</w:t>
      </w:r>
      <w:r w:rsidRPr="00FB7680">
        <w:rPr>
          <w:lang w:val="en-US"/>
        </w:rPr>
        <w:t xml:space="preserve"> (</w:t>
      </w:r>
      <w:r w:rsidRPr="00FB7680">
        <w:rPr>
          <w:i/>
          <w:lang w:val="en-US"/>
        </w:rPr>
        <w:t>pmi)</w:t>
      </w:r>
      <w:r w:rsidRPr="00FB7680">
        <w:rPr>
          <w:lang w:val="en-US"/>
        </w:rPr>
        <w:t xml:space="preserve"> gene which is derived from </w:t>
      </w:r>
      <w:r w:rsidRPr="00FB7680">
        <w:rPr>
          <w:i/>
          <w:lang w:val="en-US"/>
        </w:rPr>
        <w:t>Escherichia coli</w:t>
      </w:r>
      <w:r w:rsidRPr="00FB7680">
        <w:rPr>
          <w:lang w:val="en-US"/>
        </w:rPr>
        <w:t xml:space="preserve"> strain K-12. Express</w:t>
      </w:r>
      <w:r>
        <w:rPr>
          <w:lang w:val="en-US"/>
        </w:rPr>
        <w:t xml:space="preserve">ion of the PMI protein in cells allows growth on mannose as a carbon source. </w:t>
      </w:r>
      <w:r w:rsidRPr="00ED2CC3">
        <w:rPr>
          <w:szCs w:val="22"/>
          <w:lang w:val="en-US"/>
        </w:rPr>
        <w:t xml:space="preserve">This was used as a selectable marker to assist with identification of transformed rice cells in the early stages of selection. The PMI protein has been </w:t>
      </w:r>
      <w:r>
        <w:rPr>
          <w:szCs w:val="22"/>
          <w:lang w:val="en-US"/>
        </w:rPr>
        <w:t xml:space="preserve">previously </w:t>
      </w:r>
      <w:r w:rsidRPr="00ED2CC3">
        <w:rPr>
          <w:szCs w:val="22"/>
          <w:lang w:val="en-US"/>
        </w:rPr>
        <w:t>as</w:t>
      </w:r>
      <w:r>
        <w:rPr>
          <w:szCs w:val="22"/>
          <w:lang w:val="en-US"/>
        </w:rPr>
        <w:t>sessed by FSANZ in four</w:t>
      </w:r>
      <w:r w:rsidRPr="00ED2CC3">
        <w:rPr>
          <w:szCs w:val="22"/>
          <w:lang w:val="en-US"/>
        </w:rPr>
        <w:t xml:space="preserve"> corn applications</w:t>
      </w:r>
      <w:r w:rsidR="00841B43">
        <w:rPr>
          <w:szCs w:val="22"/>
          <w:lang w:val="en-US"/>
        </w:rPr>
        <w:t xml:space="preserve"> </w:t>
      </w:r>
      <w:r w:rsidR="008F29DB">
        <w:rPr>
          <w:szCs w:val="22"/>
          <w:lang w:val="en-US"/>
        </w:rPr>
        <w:t>–</w:t>
      </w:r>
      <w:r w:rsidR="00841B43">
        <w:rPr>
          <w:szCs w:val="22"/>
          <w:lang w:val="en-US"/>
        </w:rPr>
        <w:t xml:space="preserve"> </w:t>
      </w:r>
      <w:r w:rsidR="00841B43" w:rsidRPr="00ED2CC3">
        <w:rPr>
          <w:szCs w:val="22"/>
          <w:lang w:val="en-US"/>
        </w:rPr>
        <w:t>A564</w:t>
      </w:r>
      <w:r w:rsidR="00841B43">
        <w:rPr>
          <w:szCs w:val="22"/>
          <w:lang w:val="en-US"/>
        </w:rPr>
        <w:t xml:space="preserve"> </w:t>
      </w:r>
      <w:r w:rsidR="00841B43">
        <w:fldChar w:fldCharType="begin"/>
      </w:r>
      <w:r w:rsidR="00841B43">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MIR604&lt;/Title_Primary&gt;&lt;Authors_Primary&gt;FSANZ&lt;/Authors_Primary&gt;&lt;Date_Primary&gt;2006&lt;/Date_Primary&gt;&lt;Keywords&gt;corn&lt;/Keywords&gt;&lt;Keywords&gt;insect-protected&lt;/Keywords&gt;&lt;Reprint&gt;Not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00841B43">
        <w:fldChar w:fldCharType="separate"/>
      </w:r>
      <w:r w:rsidR="00841B43">
        <w:rPr>
          <w:noProof/>
        </w:rPr>
        <w:t>(FSANZ 2006)</w:t>
      </w:r>
      <w:r w:rsidR="00841B43">
        <w:fldChar w:fldCharType="end"/>
      </w:r>
      <w:r w:rsidR="00841B43" w:rsidRPr="00ED2CC3">
        <w:rPr>
          <w:szCs w:val="22"/>
          <w:lang w:val="en-US"/>
        </w:rPr>
        <w:t>, A580</w:t>
      </w:r>
      <w:r w:rsidR="00841B43">
        <w:rPr>
          <w:szCs w:val="22"/>
          <w:lang w:val="en-US"/>
        </w:rPr>
        <w:t xml:space="preserve"> </w:t>
      </w:r>
      <w:r w:rsidR="00841B43">
        <w:fldChar w:fldCharType="begin"/>
      </w:r>
      <w:r w:rsidR="00841B43">
        <w:instrText xml:space="preserve"> ADDIN REFMGR.CITE &lt;Refman&gt;&lt;Cite&gt;&lt;Author&gt;FSANZ&lt;/Author&gt;&lt;Year&gt;2008&lt;/Year&gt;&lt;RecNum&gt;2012&lt;/RecNum&gt;&lt;IDText&gt;Application A580 - Food derived from amylase-modified corn line 3272&lt;/IDText&gt;&lt;MDL Ref_Type="Report"&gt;&lt;Ref_Type&gt;Report&lt;/Ref_Type&gt;&lt;Ref_ID&gt;2012&lt;/Ref_ID&gt;&lt;Title_Primary&gt;Application A580 - Food derived from amylase-modified corn line 3272&lt;/Title_Primary&gt;&lt;Authors_Primary&gt;FSANZ&lt;/Authors_Primary&gt;&lt;Date_Primary&gt;2008&lt;/Date_Primary&gt;&lt;Keywords&gt;corn&lt;/Keywords&gt;&lt;Reprint&gt;Not in File&lt;/Reprint&gt;&lt;Publisher&gt;Report prepared by Food Standards Australia New Zealand&lt;/Publisher&gt;&lt;Web_URL&gt;&lt;u&gt;http://www.foodstandards.gov.au/code/applications/pages/applicationa580foodd3243.aspx&lt;/u&gt;&lt;/Web_URL&gt;&lt;ZZ_WorkformID&gt;24&lt;/ZZ_WorkformID&gt;&lt;/MDL&gt;&lt;/Cite&gt;&lt;/Refman&gt;</w:instrText>
      </w:r>
      <w:r w:rsidR="00841B43">
        <w:fldChar w:fldCharType="separate"/>
      </w:r>
      <w:r w:rsidR="00841B43">
        <w:rPr>
          <w:noProof/>
        </w:rPr>
        <w:t>(FSANZ 2008a)</w:t>
      </w:r>
      <w:r w:rsidR="00841B43">
        <w:fldChar w:fldCharType="end"/>
      </w:r>
      <w:r w:rsidR="00841B43" w:rsidRPr="00ED2CC3">
        <w:rPr>
          <w:szCs w:val="22"/>
          <w:lang w:val="en-US"/>
        </w:rPr>
        <w:t>, A1001</w:t>
      </w:r>
      <w:r w:rsidR="00841B43">
        <w:rPr>
          <w:szCs w:val="22"/>
          <w:lang w:val="en-US"/>
        </w:rPr>
        <w:t xml:space="preserve"> </w:t>
      </w:r>
      <w:r w:rsidR="00841B43">
        <w:fldChar w:fldCharType="begin"/>
      </w:r>
      <w:r w:rsidR="00841B43">
        <w:instrText xml:space="preserve"> ADDIN REFMGR.CITE &lt;Refman&gt;&lt;Cite&gt;&lt;Author&gt;FSANZ&lt;/Author&gt;&lt;Year&gt;2008&lt;/Year&gt;&lt;RecNum&gt;1860&lt;/RecNum&gt;&lt;IDText&gt;Application A1001 - Food derived from insect-protected corn line MIR162&lt;/IDText&gt;&lt;MDL Ref_Type="Report"&gt;&lt;Ref_Type&gt;Report&lt;/Ref_Type&gt;&lt;Ref_ID&gt;1860&lt;/Ref_ID&gt;&lt;Title_Primary&gt;Application A1001 - Food derived from insect-protected corn line MIR162&lt;/Title_Primary&gt;&lt;Authors_Primary&gt;FSANZ&lt;/Authors_Primary&gt;&lt;Date_Primary&gt;2008&lt;/Date_Primary&gt;&lt;Keywords&gt;corn&lt;/Keywords&gt;&lt;Keywords&gt;insect-protected&lt;/Keywords&gt;&lt;Reprint&gt;Not in File&lt;/Reprint&gt;&lt;Publisher&gt;Report prepared by Food Standards Australia New Zealand&lt;/Publisher&gt;&lt;Web_URL&gt;&lt;u&gt;http://www.foodstandards.gov.au/code/applications/pages/applicationa1001food3769.aspx&lt;/u&gt;&lt;/Web_URL&gt;&lt;ZZ_WorkformID&gt;24&lt;/ZZ_WorkformID&gt;&lt;/MDL&gt;&lt;/Cite&gt;&lt;/Refman&gt;</w:instrText>
      </w:r>
      <w:r w:rsidR="00841B43">
        <w:fldChar w:fldCharType="separate"/>
      </w:r>
      <w:r w:rsidR="00841B43">
        <w:rPr>
          <w:noProof/>
        </w:rPr>
        <w:t>(FSANZ 2008b)</w:t>
      </w:r>
      <w:r w:rsidR="00841B43">
        <w:fldChar w:fldCharType="end"/>
      </w:r>
      <w:r w:rsidR="008F211A">
        <w:rPr>
          <w:szCs w:val="22"/>
          <w:lang w:val="en-US"/>
        </w:rPr>
        <w:t xml:space="preserve"> and</w:t>
      </w:r>
      <w:r w:rsidR="00841B43">
        <w:rPr>
          <w:szCs w:val="22"/>
          <w:lang w:val="en-US"/>
        </w:rPr>
        <w:t xml:space="preserve"> A1060 </w:t>
      </w:r>
      <w:r w:rsidR="00841B43">
        <w:fldChar w:fldCharType="begin"/>
      </w:r>
      <w:r w:rsidR="00841B43">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5307&lt;/Title_Primary&gt;&lt;Authors_Primary&gt;FSANZ&lt;/Authors_Primary&gt;&lt;Date_Primary&gt;2012&lt;/Date_Primary&gt;&lt;Keywords&gt;corn&lt;/Keywords&gt;&lt;Keywords&gt;insect-protected&lt;/Keywords&gt;&lt;Reprint&gt;Not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00841B43">
        <w:fldChar w:fldCharType="separate"/>
      </w:r>
      <w:r w:rsidR="00841B43">
        <w:rPr>
          <w:noProof/>
        </w:rPr>
        <w:t>(FSANZ 2012)</w:t>
      </w:r>
      <w:r w:rsidR="00841B43">
        <w:fldChar w:fldCharType="end"/>
      </w:r>
      <w:r w:rsidR="00841B43" w:rsidRPr="00ED2CC3">
        <w:rPr>
          <w:szCs w:val="22"/>
          <w:lang w:val="en-US"/>
        </w:rPr>
        <w:t>.</w:t>
      </w:r>
    </w:p>
    <w:p w14:paraId="4D0E4C90" w14:textId="77777777" w:rsidR="007B0B05" w:rsidRDefault="007B0B05" w:rsidP="00BE3661">
      <w:pPr>
        <w:widowControl/>
        <w:rPr>
          <w:szCs w:val="22"/>
          <w:lang w:val="en-US"/>
        </w:rPr>
      </w:pPr>
    </w:p>
    <w:p w14:paraId="71941FAC" w14:textId="57EDDDAE" w:rsidR="00A658F1" w:rsidRDefault="004A0331" w:rsidP="004A0331">
      <w:pPr>
        <w:widowControl/>
        <w:autoSpaceDE w:val="0"/>
        <w:autoSpaceDN w:val="0"/>
        <w:adjustRightInd w:val="0"/>
        <w:rPr>
          <w:lang w:eastAsia="en-AU" w:bidi="ar-SA"/>
        </w:rPr>
      </w:pPr>
      <w:r>
        <w:rPr>
          <w:rFonts w:eastAsia="Batang"/>
          <w:szCs w:val="22"/>
        </w:rPr>
        <w:t xml:space="preserve">It is the Applicant’s intention that lines containing the GR2E event be cultivated for humanitarian purposes in developing countries including Bangladesh, Indonesia and the Philippines which are at high risk of vitamin A deficiency (VAD) and where </w:t>
      </w:r>
      <w:r>
        <w:rPr>
          <w:lang w:eastAsia="en-AU" w:bidi="ar-SA"/>
        </w:rPr>
        <w:t xml:space="preserve">30–70% of energy intake is derived from rice. The Applicant notes that GR2E rice will not solve the issue of population-based VAD for these populations but can be </w:t>
      </w:r>
      <w:r w:rsidR="00A17FEF">
        <w:rPr>
          <w:lang w:eastAsia="en-AU" w:bidi="ar-SA"/>
        </w:rPr>
        <w:t xml:space="preserve">part </w:t>
      </w:r>
      <w:r>
        <w:rPr>
          <w:lang w:eastAsia="en-AU" w:bidi="ar-SA"/>
        </w:rPr>
        <w:t>of an overarching strateg</w:t>
      </w:r>
      <w:r w:rsidR="00FE1288">
        <w:rPr>
          <w:lang w:eastAsia="en-AU" w:bidi="ar-SA"/>
        </w:rPr>
        <w:t>y to reduce VAD</w:t>
      </w:r>
      <w:r>
        <w:rPr>
          <w:lang w:eastAsia="en-AU" w:bidi="ar-SA"/>
        </w:rPr>
        <w:t xml:space="preserve">. </w:t>
      </w:r>
      <w:r w:rsidR="007B0B05">
        <w:rPr>
          <w:rFonts w:cs="Arial"/>
          <w:color w:val="000000" w:themeColor="text1"/>
          <w:szCs w:val="22"/>
          <w:lang w:eastAsia="en-AU"/>
        </w:rPr>
        <w:t xml:space="preserve">Countries </w:t>
      </w:r>
      <w:r w:rsidR="00A17FEF">
        <w:rPr>
          <w:rFonts w:cs="Arial"/>
          <w:color w:val="000000" w:themeColor="text1"/>
          <w:szCs w:val="22"/>
          <w:lang w:eastAsia="en-AU"/>
        </w:rPr>
        <w:t xml:space="preserve">wishing </w:t>
      </w:r>
      <w:r w:rsidR="007B0B05">
        <w:rPr>
          <w:rFonts w:cs="Arial"/>
          <w:color w:val="000000" w:themeColor="text1"/>
          <w:szCs w:val="22"/>
          <w:lang w:eastAsia="en-AU"/>
        </w:rPr>
        <w:t xml:space="preserve">to adopt the Golden Rice technology are free to introduce the GR2E event into preferred varieties that suit the local environment and meet </w:t>
      </w:r>
      <w:r w:rsidR="007B0B05">
        <w:t xml:space="preserve">certain criteria outlined in </w:t>
      </w:r>
      <w:r w:rsidR="00867603">
        <w:t>a Humanitarian Use Licence Agreement</w:t>
      </w:r>
      <w:r w:rsidR="000D37CF">
        <w:t>, subject to local regulatory arrangements</w:t>
      </w:r>
      <w:r w:rsidR="00867603">
        <w:t xml:space="preserve">. </w:t>
      </w:r>
    </w:p>
    <w:p w14:paraId="62F01556" w14:textId="77777777" w:rsidR="00A658F1" w:rsidRDefault="00A658F1" w:rsidP="00BE3661">
      <w:pPr>
        <w:widowControl/>
        <w:autoSpaceDE w:val="0"/>
        <w:autoSpaceDN w:val="0"/>
        <w:adjustRightInd w:val="0"/>
      </w:pPr>
    </w:p>
    <w:p w14:paraId="389BFBC4" w14:textId="1B511616" w:rsidR="007B0B05" w:rsidRPr="00A658F1" w:rsidRDefault="007B0B05" w:rsidP="00BE3661">
      <w:pPr>
        <w:widowControl/>
        <w:pBdr>
          <w:top w:val="single" w:sz="4" w:space="1" w:color="auto"/>
          <w:left w:val="single" w:sz="4" w:space="4" w:color="auto"/>
          <w:bottom w:val="single" w:sz="4" w:space="1" w:color="auto"/>
          <w:right w:val="single" w:sz="4" w:space="4" w:color="auto"/>
        </w:pBdr>
        <w:autoSpaceDE w:val="0"/>
        <w:autoSpaceDN w:val="0"/>
        <w:adjustRightInd w:val="0"/>
        <w:rPr>
          <w:rFonts w:cs="Arial"/>
          <w:iCs/>
          <w:color w:val="000000" w:themeColor="text1"/>
          <w:szCs w:val="22"/>
          <w:lang w:eastAsia="en-AU"/>
        </w:rPr>
      </w:pPr>
      <w:r w:rsidRPr="00A658F1">
        <w:rPr>
          <w:rFonts w:cs="Arial"/>
          <w:szCs w:val="22"/>
          <w:lang w:eastAsia="en-AU"/>
        </w:rPr>
        <w:t xml:space="preserve">Rice containing the GR2E event is not intended for commercialisation </w:t>
      </w:r>
      <w:r w:rsidR="00645FD6" w:rsidRPr="00A658F1">
        <w:rPr>
          <w:rFonts w:cs="Arial"/>
          <w:szCs w:val="22"/>
          <w:lang w:eastAsia="en-AU"/>
        </w:rPr>
        <w:t xml:space="preserve">in Australia or New Zealand </w:t>
      </w:r>
      <w:r w:rsidRPr="00A658F1">
        <w:rPr>
          <w:rFonts w:cs="Arial"/>
          <w:szCs w:val="22"/>
          <w:lang w:eastAsia="en-AU"/>
        </w:rPr>
        <w:t xml:space="preserve">(either </w:t>
      </w:r>
      <w:r w:rsidR="00645FD6">
        <w:rPr>
          <w:rFonts w:cs="Arial"/>
          <w:szCs w:val="22"/>
          <w:lang w:eastAsia="en-AU"/>
        </w:rPr>
        <w:t xml:space="preserve">for </w:t>
      </w:r>
      <w:r w:rsidRPr="00A658F1">
        <w:rPr>
          <w:rFonts w:cs="Arial"/>
          <w:szCs w:val="22"/>
          <w:lang w:eastAsia="en-AU"/>
        </w:rPr>
        <w:t>growing or intentional sale in the food supply)</w:t>
      </w:r>
      <w:r w:rsidR="00E01E1A">
        <w:rPr>
          <w:rFonts w:cs="Arial"/>
          <w:szCs w:val="22"/>
          <w:lang w:eastAsia="en-AU"/>
        </w:rPr>
        <w:t xml:space="preserve">. The </w:t>
      </w:r>
      <w:r w:rsidR="008F29DB">
        <w:rPr>
          <w:rFonts w:cs="Arial"/>
          <w:szCs w:val="22"/>
          <w:lang w:eastAsia="en-AU"/>
        </w:rPr>
        <w:t xml:space="preserve">Applicant </w:t>
      </w:r>
      <w:r w:rsidR="00E01E1A">
        <w:rPr>
          <w:rFonts w:cs="Arial"/>
          <w:szCs w:val="22"/>
          <w:lang w:eastAsia="en-AU"/>
        </w:rPr>
        <w:t>has however applied for food approval</w:t>
      </w:r>
      <w:r w:rsidRPr="00A658F1">
        <w:rPr>
          <w:rFonts w:cs="Arial"/>
          <w:szCs w:val="22"/>
          <w:lang w:eastAsia="en-AU"/>
        </w:rPr>
        <w:t xml:space="preserve"> </w:t>
      </w:r>
      <w:r w:rsidR="00BC262B" w:rsidRPr="00A658F1">
        <w:rPr>
          <w:rFonts w:cs="Arial"/>
          <w:szCs w:val="22"/>
          <w:lang w:eastAsia="en-AU"/>
        </w:rPr>
        <w:t>because</w:t>
      </w:r>
      <w:r w:rsidRPr="00A658F1">
        <w:rPr>
          <w:rFonts w:cs="Arial"/>
          <w:szCs w:val="22"/>
          <w:lang w:eastAsia="en-AU"/>
        </w:rPr>
        <w:t xml:space="preserve"> it is possible </w:t>
      </w:r>
      <w:r w:rsidR="00A17FEF">
        <w:rPr>
          <w:rFonts w:cs="Arial"/>
          <w:szCs w:val="22"/>
          <w:lang w:eastAsia="en-AU"/>
        </w:rPr>
        <w:t xml:space="preserve">the </w:t>
      </w:r>
      <w:r w:rsidR="00BC262B" w:rsidRPr="00A658F1">
        <w:rPr>
          <w:rFonts w:cs="Arial"/>
          <w:szCs w:val="22"/>
          <w:lang w:eastAsia="en-AU"/>
        </w:rPr>
        <w:t>rice</w:t>
      </w:r>
      <w:r w:rsidRPr="00A658F1">
        <w:rPr>
          <w:rFonts w:cs="Arial"/>
          <w:szCs w:val="22"/>
          <w:lang w:eastAsia="en-AU"/>
        </w:rPr>
        <w:t xml:space="preserve"> could inadvertently enter the food </w:t>
      </w:r>
      <w:r w:rsidRPr="00A658F1">
        <w:rPr>
          <w:rFonts w:cs="Arial"/>
          <w:color w:val="000000" w:themeColor="text1"/>
          <w:szCs w:val="22"/>
          <w:lang w:eastAsia="en-AU"/>
        </w:rPr>
        <w:t>supply via exports from countries that may supply significant quantities of mille</w:t>
      </w:r>
      <w:r w:rsidR="00867603" w:rsidRPr="00A658F1">
        <w:rPr>
          <w:rFonts w:cs="Arial"/>
          <w:color w:val="000000" w:themeColor="text1"/>
          <w:szCs w:val="22"/>
          <w:lang w:eastAsia="en-AU"/>
        </w:rPr>
        <w:t>d</w:t>
      </w:r>
      <w:r w:rsidR="00EE2C83">
        <w:rPr>
          <w:rStyle w:val="FootnoteReference"/>
          <w:rFonts w:cs="Arial"/>
          <w:color w:val="000000" w:themeColor="text1"/>
          <w:szCs w:val="22"/>
          <w:lang w:eastAsia="en-AU"/>
        </w:rPr>
        <w:footnoteReference w:id="3"/>
      </w:r>
      <w:r w:rsidR="00867603" w:rsidRPr="00A658F1">
        <w:rPr>
          <w:rFonts w:cs="Arial"/>
          <w:color w:val="000000" w:themeColor="text1"/>
          <w:szCs w:val="22"/>
          <w:lang w:eastAsia="en-AU"/>
        </w:rPr>
        <w:t xml:space="preserve"> rice to Australia</w:t>
      </w:r>
      <w:r w:rsidR="00645FD6">
        <w:rPr>
          <w:rFonts w:cs="Arial"/>
          <w:color w:val="000000" w:themeColor="text1"/>
          <w:szCs w:val="22"/>
          <w:lang w:eastAsia="en-AU"/>
        </w:rPr>
        <w:t xml:space="preserve"> or </w:t>
      </w:r>
      <w:r w:rsidR="00867603" w:rsidRPr="00A658F1">
        <w:rPr>
          <w:rFonts w:cs="Arial"/>
          <w:color w:val="000000" w:themeColor="text1"/>
          <w:szCs w:val="22"/>
          <w:lang w:eastAsia="en-AU"/>
        </w:rPr>
        <w:t>New Zealand</w:t>
      </w:r>
      <w:r w:rsidR="00BC262B" w:rsidRPr="00A658F1">
        <w:rPr>
          <w:rFonts w:cs="Arial"/>
          <w:color w:val="000000" w:themeColor="text1"/>
          <w:szCs w:val="22"/>
          <w:lang w:eastAsia="en-AU"/>
        </w:rPr>
        <w:t>.</w:t>
      </w:r>
    </w:p>
    <w:p w14:paraId="531664AB" w14:textId="31A58A72" w:rsidR="0053464E" w:rsidRPr="007B0B05" w:rsidRDefault="00F33BB8" w:rsidP="00BE3661">
      <w:pPr>
        <w:pStyle w:val="Heading2"/>
        <w:widowControl/>
        <w:rPr>
          <w:color w:val="000000" w:themeColor="text1"/>
        </w:rPr>
      </w:pPr>
      <w:bookmarkStart w:id="18" w:name="_Toc300761892"/>
      <w:bookmarkStart w:id="19" w:name="_Toc300933421"/>
      <w:bookmarkStart w:id="20" w:name="_Toc488316679"/>
      <w:r w:rsidRPr="007B0B05">
        <w:rPr>
          <w:color w:val="000000" w:themeColor="text1"/>
        </w:rPr>
        <w:t>1</w:t>
      </w:r>
      <w:r w:rsidR="00A56E34" w:rsidRPr="007B0B05">
        <w:rPr>
          <w:color w:val="000000" w:themeColor="text1"/>
        </w:rPr>
        <w:t>.3</w:t>
      </w:r>
      <w:r w:rsidR="00A56E34" w:rsidRPr="007B0B05">
        <w:rPr>
          <w:color w:val="000000" w:themeColor="text1"/>
        </w:rPr>
        <w:tab/>
        <w:t>The c</w:t>
      </w:r>
      <w:r w:rsidR="0053464E" w:rsidRPr="007B0B05">
        <w:rPr>
          <w:color w:val="000000" w:themeColor="text1"/>
        </w:rPr>
        <w:t xml:space="preserve">urrent </w:t>
      </w:r>
      <w:r w:rsidR="00E72650" w:rsidRPr="007B0B05">
        <w:rPr>
          <w:color w:val="000000" w:themeColor="text1"/>
        </w:rPr>
        <w:t>s</w:t>
      </w:r>
      <w:r w:rsidR="0053464E" w:rsidRPr="007B0B05">
        <w:rPr>
          <w:color w:val="000000" w:themeColor="text1"/>
        </w:rPr>
        <w:t>tandard</w:t>
      </w:r>
      <w:bookmarkEnd w:id="18"/>
      <w:bookmarkEnd w:id="19"/>
      <w:r w:rsidR="00433546">
        <w:rPr>
          <w:color w:val="000000" w:themeColor="text1"/>
        </w:rPr>
        <w:t>s</w:t>
      </w:r>
      <w:bookmarkEnd w:id="20"/>
    </w:p>
    <w:p w14:paraId="2F491A9C" w14:textId="77777777" w:rsidR="000D28E2" w:rsidRDefault="00867603" w:rsidP="00BE3661">
      <w:pPr>
        <w:widowControl/>
        <w:rPr>
          <w:color w:val="000000" w:themeColor="text1"/>
        </w:rPr>
      </w:pPr>
      <w:bookmarkStart w:id="21" w:name="_Toc286391007"/>
      <w:bookmarkStart w:id="22" w:name="_Toc300933423"/>
      <w:bookmarkStart w:id="23" w:name="_Toc175381432"/>
      <w:r w:rsidRPr="00107E06">
        <w:rPr>
          <w:color w:val="000000" w:themeColor="text1"/>
        </w:rPr>
        <w:t xml:space="preserve">Pre-market approval is necessary before a GM food may enter the Australian and New Zealand food supply. </w:t>
      </w:r>
    </w:p>
    <w:p w14:paraId="51FC431F" w14:textId="77777777" w:rsidR="000D28E2" w:rsidRDefault="000D28E2">
      <w:pPr>
        <w:widowControl/>
        <w:rPr>
          <w:color w:val="000000" w:themeColor="text1"/>
        </w:rPr>
      </w:pPr>
      <w:r>
        <w:rPr>
          <w:color w:val="000000" w:themeColor="text1"/>
        </w:rPr>
        <w:br w:type="page"/>
      </w:r>
    </w:p>
    <w:p w14:paraId="1D20E57D" w14:textId="76267FAD" w:rsidR="00867603" w:rsidRDefault="00867603" w:rsidP="00BE3661">
      <w:pPr>
        <w:widowControl/>
        <w:rPr>
          <w:color w:val="000000" w:themeColor="text1"/>
        </w:rPr>
      </w:pPr>
      <w:r w:rsidRPr="00107E06">
        <w:rPr>
          <w:color w:val="000000" w:themeColor="text1"/>
        </w:rPr>
        <w:lastRenderedPageBreak/>
        <w:t xml:space="preserve">Approval of such foods is contingent on completion of a comprehensive pre-market safety assessment. </w:t>
      </w:r>
      <w:r w:rsidRPr="00107E06" w:rsidDel="00C41B34">
        <w:rPr>
          <w:color w:val="000000" w:themeColor="text1"/>
        </w:rPr>
        <w:t>Standard 1.5.2</w:t>
      </w:r>
      <w:r w:rsidRPr="00107E06">
        <w:rPr>
          <w:color w:val="000000" w:themeColor="text1"/>
        </w:rPr>
        <w:t xml:space="preserve"> </w:t>
      </w:r>
      <w:r w:rsidR="006F079E">
        <w:rPr>
          <w:color w:val="000000" w:themeColor="text1"/>
        </w:rPr>
        <w:t xml:space="preserve">– </w:t>
      </w:r>
      <w:r w:rsidR="002A7F86">
        <w:rPr>
          <w:color w:val="000000" w:themeColor="text1"/>
        </w:rPr>
        <w:t>Food produced using gene technology</w:t>
      </w:r>
      <w:r w:rsidR="000D28E2">
        <w:rPr>
          <w:color w:val="000000" w:themeColor="text1"/>
        </w:rPr>
        <w:t>,</w:t>
      </w:r>
      <w:r w:rsidR="006F079E">
        <w:rPr>
          <w:color w:val="000000" w:themeColor="text1"/>
        </w:rPr>
        <w:t xml:space="preserve"> </w:t>
      </w:r>
      <w:r w:rsidRPr="00107E06">
        <w:rPr>
          <w:color w:val="000000" w:themeColor="text1"/>
        </w:rPr>
        <w:t>sets out the permission and conditions for the sale and use of food produced using gene technology (a GM food). Foods that have been assessed and approved are listed in Schedule 26</w:t>
      </w:r>
      <w:r w:rsidR="006F079E">
        <w:rPr>
          <w:color w:val="000000" w:themeColor="text1"/>
        </w:rPr>
        <w:t xml:space="preserve"> – </w:t>
      </w:r>
      <w:r w:rsidR="002A7F86">
        <w:rPr>
          <w:color w:val="000000" w:themeColor="text1"/>
        </w:rPr>
        <w:t>Food produced using gene technology</w:t>
      </w:r>
      <w:r w:rsidR="008F211A">
        <w:rPr>
          <w:color w:val="000000" w:themeColor="text1"/>
        </w:rPr>
        <w:t>.</w:t>
      </w:r>
      <w:r w:rsidRPr="00107E06">
        <w:rPr>
          <w:color w:val="000000" w:themeColor="text1"/>
        </w:rPr>
        <w:t xml:space="preserve"> </w:t>
      </w:r>
    </w:p>
    <w:p w14:paraId="232C50DA" w14:textId="77777777" w:rsidR="000D28E2" w:rsidRPr="00107E06" w:rsidRDefault="000D28E2" w:rsidP="00BE3661">
      <w:pPr>
        <w:widowControl/>
        <w:rPr>
          <w:color w:val="000000" w:themeColor="text1"/>
        </w:rPr>
      </w:pPr>
    </w:p>
    <w:p w14:paraId="11DC447C" w14:textId="7D78259B" w:rsidR="00964B9F" w:rsidRDefault="00867603" w:rsidP="00BE3661">
      <w:pPr>
        <w:widowControl/>
        <w:rPr>
          <w:color w:val="000000" w:themeColor="text1"/>
        </w:rPr>
      </w:pPr>
      <w:r w:rsidRPr="00107E06">
        <w:rPr>
          <w:color w:val="000000" w:themeColor="text1"/>
        </w:rPr>
        <w:t xml:space="preserve">Standard 1.5.2 </w:t>
      </w:r>
      <w:r>
        <w:rPr>
          <w:color w:val="000000" w:themeColor="text1"/>
        </w:rPr>
        <w:t xml:space="preserve">also </w:t>
      </w:r>
      <w:r w:rsidRPr="00107E06">
        <w:rPr>
          <w:color w:val="000000" w:themeColor="text1"/>
        </w:rPr>
        <w:t>contains specific labelling provisions for approved GM foods. GM foods and ingredients (including food additives and processing aids from GM sources) must be identified on labels with the words ‘genetically modified’ if novel DNA or novel protein (as defined in Standard 1.5.2) is present in the food.</w:t>
      </w:r>
    </w:p>
    <w:p w14:paraId="44CB54DD" w14:textId="77777777" w:rsidR="005E4F2D" w:rsidRDefault="005E4F2D" w:rsidP="00BE3661">
      <w:pPr>
        <w:widowControl/>
        <w:rPr>
          <w:color w:val="000000" w:themeColor="text1"/>
        </w:rPr>
      </w:pPr>
    </w:p>
    <w:p w14:paraId="278CC2B1" w14:textId="36AEBEC1" w:rsidR="00867603" w:rsidRPr="00107E06" w:rsidRDefault="00867603" w:rsidP="00BE3661">
      <w:pPr>
        <w:widowControl/>
        <w:rPr>
          <w:color w:val="000000" w:themeColor="text1"/>
        </w:rPr>
      </w:pPr>
      <w:r w:rsidRPr="00107E06">
        <w:rPr>
          <w:color w:val="000000" w:themeColor="text1"/>
        </w:rPr>
        <w:t>Foods listed in subsections S26—3(2)</w:t>
      </w:r>
      <w:r w:rsidR="00C612C0">
        <w:rPr>
          <w:color w:val="000000" w:themeColor="text1"/>
        </w:rPr>
        <w:t>, (2A)</w:t>
      </w:r>
      <w:r w:rsidRPr="00107E06">
        <w:rPr>
          <w:color w:val="000000" w:themeColor="text1"/>
        </w:rPr>
        <w:t xml:space="preserve"> and (3) of Schedule 26 must also be labelled with the words ‘genetically modified’, as well as any other additional labelling required by the Schedule regardless of the presence of novel DNA or novel protein in the foods. </w:t>
      </w:r>
      <w:r>
        <w:rPr>
          <w:color w:val="000000" w:themeColor="text1"/>
        </w:rPr>
        <w:t>F</w:t>
      </w:r>
      <w:r w:rsidRPr="00107E06">
        <w:rPr>
          <w:color w:val="000000" w:themeColor="text1"/>
        </w:rPr>
        <w:t>oods listed in subsections S26—3(2)</w:t>
      </w:r>
      <w:r w:rsidR="00C612C0">
        <w:rPr>
          <w:color w:val="000000" w:themeColor="text1"/>
        </w:rPr>
        <w:t>, (2A)</w:t>
      </w:r>
      <w:r w:rsidRPr="00107E06">
        <w:rPr>
          <w:color w:val="000000" w:themeColor="text1"/>
        </w:rPr>
        <w:t xml:space="preserve"> and (3) </w:t>
      </w:r>
      <w:r>
        <w:rPr>
          <w:color w:val="000000" w:themeColor="text1"/>
        </w:rPr>
        <w:t xml:space="preserve">are considered to </w:t>
      </w:r>
      <w:r w:rsidRPr="00107E06">
        <w:rPr>
          <w:color w:val="000000" w:themeColor="text1"/>
        </w:rPr>
        <w:t>have an altered characteristic, such as an altered composition or nutritional profile, when compared to the existing counterpart food that is not produced using gene technology.</w:t>
      </w:r>
    </w:p>
    <w:p w14:paraId="5E15D112" w14:textId="77777777" w:rsidR="00AF387F" w:rsidRPr="00867603" w:rsidRDefault="00F33BB8" w:rsidP="00BE3661">
      <w:pPr>
        <w:pStyle w:val="Heading2"/>
        <w:widowControl/>
        <w:rPr>
          <w:color w:val="000000" w:themeColor="text1"/>
          <w:u w:color="FFFF00"/>
        </w:rPr>
      </w:pPr>
      <w:bookmarkStart w:id="24" w:name="_Toc488316680"/>
      <w:r w:rsidRPr="00867603">
        <w:rPr>
          <w:color w:val="000000" w:themeColor="text1"/>
          <w:u w:color="FFFF00"/>
        </w:rPr>
        <w:t>1</w:t>
      </w:r>
      <w:r w:rsidR="00606C88" w:rsidRPr="00867603">
        <w:rPr>
          <w:color w:val="000000" w:themeColor="text1"/>
          <w:u w:color="FFFF00"/>
        </w:rPr>
        <w:t>.4</w:t>
      </w:r>
      <w:r w:rsidR="001542D8" w:rsidRPr="00867603">
        <w:rPr>
          <w:color w:val="000000" w:themeColor="text1"/>
          <w:u w:color="FFFF00"/>
        </w:rPr>
        <w:tab/>
      </w:r>
      <w:r w:rsidR="00741EFE" w:rsidRPr="00867603">
        <w:rPr>
          <w:color w:val="000000" w:themeColor="text1"/>
          <w:u w:color="FFFF00"/>
        </w:rPr>
        <w:t>Reasons for accepting A</w:t>
      </w:r>
      <w:r w:rsidR="00AF387F" w:rsidRPr="00867603">
        <w:rPr>
          <w:color w:val="000000" w:themeColor="text1"/>
          <w:u w:color="FFFF00"/>
        </w:rPr>
        <w:t>pplication</w:t>
      </w:r>
      <w:bookmarkEnd w:id="21"/>
      <w:bookmarkEnd w:id="22"/>
      <w:bookmarkEnd w:id="24"/>
    </w:p>
    <w:p w14:paraId="06029867" w14:textId="77777777" w:rsidR="00867603" w:rsidRPr="00867603" w:rsidRDefault="00867603" w:rsidP="00BE3661">
      <w:pPr>
        <w:widowControl/>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3"/>
      <w:r w:rsidRPr="00867603">
        <w:rPr>
          <w:color w:val="000000" w:themeColor="text1"/>
        </w:rPr>
        <w:t>The Application was accepted for assessment because:</w:t>
      </w:r>
    </w:p>
    <w:p w14:paraId="2C9D5A5F" w14:textId="77777777" w:rsidR="00867603" w:rsidRPr="00867603" w:rsidRDefault="00867603" w:rsidP="00BE3661">
      <w:pPr>
        <w:widowControl/>
        <w:rPr>
          <w:color w:val="000000" w:themeColor="text1"/>
        </w:rPr>
      </w:pPr>
    </w:p>
    <w:p w14:paraId="2BA0B5C5" w14:textId="77777777" w:rsidR="00867603" w:rsidRPr="00867603" w:rsidRDefault="00867603" w:rsidP="00BE3661">
      <w:pPr>
        <w:pStyle w:val="FSBullet1"/>
        <w:numPr>
          <w:ilvl w:val="0"/>
          <w:numId w:val="9"/>
        </w:numPr>
        <w:ind w:left="567" w:hanging="567"/>
        <w:rPr>
          <w:color w:val="000000" w:themeColor="text1"/>
        </w:rPr>
      </w:pPr>
      <w:r w:rsidRPr="00867603">
        <w:rPr>
          <w:color w:val="000000" w:themeColor="text1"/>
        </w:rPr>
        <w:t>it complied with the procedural requirements under subsection 22(2) of the FSANZ Act</w:t>
      </w:r>
    </w:p>
    <w:p w14:paraId="4F6A1670" w14:textId="77777777" w:rsidR="00867603" w:rsidRPr="00867603" w:rsidRDefault="00867603" w:rsidP="00BE3661">
      <w:pPr>
        <w:pStyle w:val="FSBullet1"/>
        <w:numPr>
          <w:ilvl w:val="0"/>
          <w:numId w:val="9"/>
        </w:numPr>
        <w:ind w:left="567" w:hanging="567"/>
        <w:rPr>
          <w:color w:val="000000" w:themeColor="text1"/>
        </w:rPr>
      </w:pPr>
      <w:r w:rsidRPr="00867603">
        <w:rPr>
          <w:color w:val="000000" w:themeColor="text1"/>
        </w:rPr>
        <w:t>it related to a matter that warranted the variation of a food regulatory measure</w:t>
      </w:r>
    </w:p>
    <w:p w14:paraId="33EBB8A8" w14:textId="77777777" w:rsidR="00867603" w:rsidRPr="00867603" w:rsidRDefault="00867603" w:rsidP="00BE3661">
      <w:pPr>
        <w:pStyle w:val="FSBullet1"/>
        <w:numPr>
          <w:ilvl w:val="0"/>
          <w:numId w:val="10"/>
        </w:numPr>
        <w:ind w:left="567" w:hanging="567"/>
        <w:rPr>
          <w:color w:val="000000" w:themeColor="text1"/>
        </w:rPr>
      </w:pPr>
      <w:proofErr w:type="gramStart"/>
      <w:r w:rsidRPr="00867603">
        <w:rPr>
          <w:color w:val="000000" w:themeColor="text1"/>
        </w:rPr>
        <w:t>it</w:t>
      </w:r>
      <w:proofErr w:type="gramEnd"/>
      <w:r w:rsidRPr="00867603">
        <w:rPr>
          <w:color w:val="000000" w:themeColor="text1"/>
        </w:rPr>
        <w:t xml:space="preserve"> was not so similar to a previous application for the variation of a food regulatory measure that it ought to be rejected.</w:t>
      </w:r>
    </w:p>
    <w:p w14:paraId="7517C312" w14:textId="77777777" w:rsidR="00867603" w:rsidRPr="00850459" w:rsidRDefault="00867603" w:rsidP="00BE3661">
      <w:pPr>
        <w:pStyle w:val="Heading2"/>
        <w:widowControl/>
        <w:rPr>
          <w:color w:val="000000" w:themeColor="text1"/>
        </w:rPr>
      </w:pPr>
      <w:bookmarkStart w:id="32" w:name="_Toc476754819"/>
      <w:bookmarkStart w:id="33" w:name="_Toc488316681"/>
      <w:r w:rsidRPr="00850459">
        <w:rPr>
          <w:color w:val="000000" w:themeColor="text1"/>
        </w:rPr>
        <w:t>1.5</w:t>
      </w:r>
      <w:r w:rsidRPr="00850459">
        <w:rPr>
          <w:color w:val="000000" w:themeColor="text1"/>
        </w:rPr>
        <w:tab/>
        <w:t>Procedure for assessment</w:t>
      </w:r>
      <w:bookmarkEnd w:id="32"/>
      <w:bookmarkEnd w:id="33"/>
    </w:p>
    <w:p w14:paraId="2BA372AA" w14:textId="77777777" w:rsidR="00DE79D9" w:rsidRPr="00850459" w:rsidRDefault="00DE79D9" w:rsidP="00BE3661">
      <w:pPr>
        <w:widowControl/>
        <w:rPr>
          <w:color w:val="000000" w:themeColor="text1"/>
        </w:rPr>
      </w:pPr>
      <w:r w:rsidRPr="00850459">
        <w:rPr>
          <w:color w:val="000000" w:themeColor="text1"/>
        </w:rPr>
        <w:t>The A</w:t>
      </w:r>
      <w:r w:rsidR="00867603" w:rsidRPr="00850459">
        <w:rPr>
          <w:color w:val="000000" w:themeColor="text1"/>
        </w:rPr>
        <w:t>pplication</w:t>
      </w:r>
      <w:r w:rsidRPr="00850459">
        <w:rPr>
          <w:color w:val="000000" w:themeColor="text1"/>
        </w:rPr>
        <w:t xml:space="preserve"> is being assessed under the </w:t>
      </w:r>
      <w:r w:rsidR="00867603" w:rsidRPr="00850459">
        <w:rPr>
          <w:color w:val="000000" w:themeColor="text1"/>
        </w:rPr>
        <w:t>General</w:t>
      </w:r>
      <w:r w:rsidRPr="00850459">
        <w:rPr>
          <w:color w:val="000000" w:themeColor="text1"/>
        </w:rPr>
        <w:t xml:space="preserve"> Procedure.</w:t>
      </w:r>
    </w:p>
    <w:p w14:paraId="3872B79A" w14:textId="77777777" w:rsidR="00DE79D9" w:rsidRPr="00850459" w:rsidRDefault="00DE79D9" w:rsidP="00BE3661">
      <w:pPr>
        <w:widowControl/>
        <w:rPr>
          <w:color w:val="000000" w:themeColor="text1"/>
        </w:rPr>
      </w:pPr>
    </w:p>
    <w:p w14:paraId="23FA729A" w14:textId="77777777" w:rsidR="00AF387F" w:rsidRPr="00850459" w:rsidRDefault="00D3171B" w:rsidP="00BE3661">
      <w:pPr>
        <w:pStyle w:val="Heading1"/>
        <w:widowControl/>
        <w:rPr>
          <w:color w:val="000000" w:themeColor="text1"/>
        </w:rPr>
      </w:pPr>
      <w:bookmarkStart w:id="34" w:name="_Toc300933424"/>
      <w:bookmarkStart w:id="35" w:name="_Toc488316682"/>
      <w:r w:rsidRPr="00850459">
        <w:rPr>
          <w:color w:val="000000" w:themeColor="text1"/>
        </w:rPr>
        <w:t>2</w:t>
      </w:r>
      <w:r w:rsidR="001542D8" w:rsidRPr="00850459">
        <w:rPr>
          <w:color w:val="000000" w:themeColor="text1"/>
        </w:rPr>
        <w:tab/>
      </w:r>
      <w:r w:rsidR="00350DBD" w:rsidRPr="00850459">
        <w:rPr>
          <w:color w:val="000000" w:themeColor="text1"/>
        </w:rPr>
        <w:t>S</w:t>
      </w:r>
      <w:r w:rsidR="00FB1533" w:rsidRPr="00850459">
        <w:rPr>
          <w:color w:val="000000" w:themeColor="text1"/>
        </w:rPr>
        <w:t>ummary of the a</w:t>
      </w:r>
      <w:r w:rsidR="00FD2FBE" w:rsidRPr="00850459">
        <w:rPr>
          <w:color w:val="000000" w:themeColor="text1"/>
        </w:rPr>
        <w:t>ssessment</w:t>
      </w:r>
      <w:bookmarkEnd w:id="25"/>
      <w:bookmarkEnd w:id="34"/>
      <w:bookmarkEnd w:id="35"/>
    </w:p>
    <w:p w14:paraId="5A0B47C0" w14:textId="4E3B9A12" w:rsidR="00F33BB8" w:rsidRPr="00850459" w:rsidRDefault="00D3171B" w:rsidP="00612E38">
      <w:pPr>
        <w:pStyle w:val="Heading2"/>
        <w:keepNext w:val="0"/>
        <w:widowControl/>
        <w:rPr>
          <w:color w:val="000000" w:themeColor="text1"/>
        </w:rPr>
      </w:pPr>
      <w:bookmarkStart w:id="36" w:name="_Toc300933438"/>
      <w:bookmarkStart w:id="37" w:name="_Toc488316683"/>
      <w:bookmarkStart w:id="38" w:name="_Toc286391009"/>
      <w:bookmarkStart w:id="39" w:name="_Toc300933425"/>
      <w:bookmarkStart w:id="40" w:name="_Toc120358583"/>
      <w:bookmarkStart w:id="41" w:name="_Toc175381440"/>
      <w:r w:rsidRPr="00850459">
        <w:rPr>
          <w:color w:val="000000" w:themeColor="text1"/>
        </w:rPr>
        <w:t>2</w:t>
      </w:r>
      <w:r w:rsidR="00F33BB8" w:rsidRPr="00850459">
        <w:rPr>
          <w:color w:val="000000" w:themeColor="text1"/>
        </w:rPr>
        <w:t>.1</w:t>
      </w:r>
      <w:r w:rsidR="00F33BB8" w:rsidRPr="00850459">
        <w:rPr>
          <w:color w:val="000000" w:themeColor="text1"/>
        </w:rPr>
        <w:tab/>
      </w:r>
      <w:bookmarkEnd w:id="36"/>
      <w:r w:rsidR="00867603" w:rsidRPr="00850459">
        <w:rPr>
          <w:color w:val="000000" w:themeColor="text1"/>
        </w:rPr>
        <w:t xml:space="preserve">Safety </w:t>
      </w:r>
      <w:r w:rsidR="00ED2ACA">
        <w:rPr>
          <w:color w:val="000000" w:themeColor="text1"/>
        </w:rPr>
        <w:t xml:space="preserve">and nutrition </w:t>
      </w:r>
      <w:r w:rsidR="00F06CCD">
        <w:rPr>
          <w:color w:val="000000" w:themeColor="text1"/>
        </w:rPr>
        <w:t xml:space="preserve">risk </w:t>
      </w:r>
      <w:r w:rsidR="00867603" w:rsidRPr="00850459">
        <w:rPr>
          <w:color w:val="000000" w:themeColor="text1"/>
        </w:rPr>
        <w:t>assessment</w:t>
      </w:r>
      <w:bookmarkEnd w:id="37"/>
    </w:p>
    <w:p w14:paraId="7DCC675D" w14:textId="5BD7E3A4" w:rsidR="00867603" w:rsidRDefault="00867603" w:rsidP="00BE3661">
      <w:pPr>
        <w:pStyle w:val="FSHeading"/>
        <w:widowControl/>
        <w:ind w:left="0" w:firstLine="0"/>
        <w:rPr>
          <w:b w:val="0"/>
          <w:color w:val="000000" w:themeColor="text1"/>
        </w:rPr>
      </w:pPr>
      <w:r w:rsidRPr="00850459">
        <w:rPr>
          <w:b w:val="0"/>
          <w:color w:val="000000" w:themeColor="text1"/>
        </w:rPr>
        <w:t>In conducting a</w:t>
      </w:r>
      <w:r w:rsidR="00B4401E">
        <w:rPr>
          <w:b w:val="0"/>
          <w:color w:val="000000" w:themeColor="text1"/>
        </w:rPr>
        <w:t>n</w:t>
      </w:r>
      <w:r w:rsidRPr="00850459">
        <w:rPr>
          <w:b w:val="0"/>
          <w:color w:val="000000" w:themeColor="text1"/>
        </w:rPr>
        <w:t xml:space="preserve"> assessment of food derived from GR2E, </w:t>
      </w:r>
      <w:r w:rsidR="006F079E">
        <w:rPr>
          <w:b w:val="0"/>
          <w:color w:val="000000" w:themeColor="text1"/>
        </w:rPr>
        <w:t>several</w:t>
      </w:r>
      <w:r w:rsidRPr="00850459">
        <w:rPr>
          <w:b w:val="0"/>
          <w:color w:val="000000" w:themeColor="text1"/>
        </w:rPr>
        <w:t xml:space="preserve"> criteria have been addressed including: a characterisation of the transferred gene sequences, their origin, func</w:t>
      </w:r>
      <w:r w:rsidR="00433546">
        <w:rPr>
          <w:b w:val="0"/>
          <w:color w:val="000000" w:themeColor="text1"/>
        </w:rPr>
        <w:t>tion and stability in the rice</w:t>
      </w:r>
      <w:r w:rsidRPr="00850459">
        <w:rPr>
          <w:b w:val="0"/>
          <w:color w:val="000000" w:themeColor="text1"/>
        </w:rPr>
        <w:t xml:space="preserve"> genome; the changes at the level of DNA and protein in the whole food; compositional analyses</w:t>
      </w:r>
      <w:r w:rsidRPr="002C33A1">
        <w:rPr>
          <w:b w:val="0"/>
          <w:color w:val="000000" w:themeColor="text1"/>
        </w:rPr>
        <w:t>; an</w:t>
      </w:r>
      <w:r w:rsidR="00AC7270">
        <w:rPr>
          <w:b w:val="0"/>
          <w:color w:val="000000" w:themeColor="text1"/>
        </w:rPr>
        <w:t xml:space="preserve"> </w:t>
      </w:r>
      <w:r w:rsidRPr="002C33A1">
        <w:rPr>
          <w:b w:val="0"/>
          <w:color w:val="000000" w:themeColor="text1"/>
        </w:rPr>
        <w:t>evaluation of intended and unintended changes</w:t>
      </w:r>
      <w:r w:rsidR="001F6DAD">
        <w:rPr>
          <w:b w:val="0"/>
          <w:color w:val="000000" w:themeColor="text1"/>
        </w:rPr>
        <w:t>;</w:t>
      </w:r>
      <w:r w:rsidR="00AC7270">
        <w:rPr>
          <w:b w:val="0"/>
          <w:color w:val="000000" w:themeColor="text1"/>
        </w:rPr>
        <w:t xml:space="preserve"> </w:t>
      </w:r>
      <w:r w:rsidR="00F5657B">
        <w:rPr>
          <w:b w:val="0"/>
          <w:color w:val="000000" w:themeColor="text1"/>
        </w:rPr>
        <w:t xml:space="preserve">and </w:t>
      </w:r>
      <w:r w:rsidR="00AC7270" w:rsidRPr="00CB2DF9">
        <w:rPr>
          <w:b w:val="0"/>
          <w:color w:val="000000" w:themeColor="text1"/>
        </w:rPr>
        <w:t xml:space="preserve">a </w:t>
      </w:r>
      <w:r w:rsidR="001F6DAD" w:rsidRPr="00CB2DF9">
        <w:rPr>
          <w:b w:val="0"/>
          <w:color w:val="000000" w:themeColor="text1"/>
        </w:rPr>
        <w:t>nutrition risk assessment</w:t>
      </w:r>
      <w:r w:rsidR="00CB2DF9" w:rsidRPr="00CB2DF9">
        <w:rPr>
          <w:b w:val="0"/>
          <w:color w:val="000000" w:themeColor="text1"/>
        </w:rPr>
        <w:t xml:space="preserve"> in</w:t>
      </w:r>
      <w:r w:rsidR="00CB2DF9">
        <w:rPr>
          <w:b w:val="0"/>
          <w:color w:val="000000" w:themeColor="text1"/>
        </w:rPr>
        <w:t xml:space="preserve"> relation to</w:t>
      </w:r>
      <w:r w:rsidR="00CB2DF9" w:rsidRPr="00CB2DF9">
        <w:rPr>
          <w:b w:val="0"/>
          <w:color w:val="000000" w:themeColor="text1"/>
        </w:rPr>
        <w:t xml:space="preserve"> </w:t>
      </w:r>
      <w:r w:rsidR="00CB2DF9" w:rsidRPr="00CB2DF9">
        <w:rPr>
          <w:rFonts w:ascii="CharterBT-Roman" w:hAnsi="CharterBT-Roman" w:cs="CharterBT-Roman"/>
          <w:b w:val="0"/>
          <w:lang w:eastAsia="en-GB"/>
        </w:rPr>
        <w:t>β-carotene</w:t>
      </w:r>
      <w:r w:rsidR="00CB2DF9">
        <w:rPr>
          <w:rFonts w:ascii="CharterBT-Roman" w:hAnsi="CharterBT-Roman" w:cs="CharterBT-Roman"/>
          <w:b w:val="0"/>
          <w:lang w:eastAsia="en-GB"/>
        </w:rPr>
        <w:t xml:space="preserve"> intake</w:t>
      </w:r>
      <w:r w:rsidR="00AC7270">
        <w:rPr>
          <w:b w:val="0"/>
          <w:color w:val="000000" w:themeColor="text1"/>
        </w:rPr>
        <w:t>.</w:t>
      </w:r>
    </w:p>
    <w:p w14:paraId="5F17AFB3" w14:textId="77777777" w:rsidR="00867603" w:rsidRPr="00DD5D09" w:rsidRDefault="00867603" w:rsidP="00BE3661">
      <w:pPr>
        <w:widowControl/>
        <w:rPr>
          <w:color w:val="000000" w:themeColor="text1"/>
        </w:rPr>
      </w:pPr>
    </w:p>
    <w:p w14:paraId="19FBB1B9" w14:textId="3BF4139E" w:rsidR="00867603" w:rsidRDefault="00AC7270" w:rsidP="00BE3661">
      <w:pPr>
        <w:widowControl/>
        <w:rPr>
          <w:color w:val="000000" w:themeColor="text1"/>
        </w:rPr>
      </w:pPr>
      <w:r>
        <w:rPr>
          <w:color w:val="000000" w:themeColor="text1"/>
        </w:rPr>
        <w:t xml:space="preserve">Supporting Document 1 </w:t>
      </w:r>
      <w:r w:rsidR="00C1746C">
        <w:rPr>
          <w:color w:val="000000" w:themeColor="text1"/>
        </w:rPr>
        <w:t xml:space="preserve">(SD1) </w:t>
      </w:r>
      <w:r>
        <w:rPr>
          <w:color w:val="000000" w:themeColor="text1"/>
        </w:rPr>
        <w:t xml:space="preserve">which deals with the genetic modification </w:t>
      </w:r>
      <w:r w:rsidRPr="00AC7270">
        <w:rPr>
          <w:i/>
          <w:color w:val="000000" w:themeColor="text1"/>
        </w:rPr>
        <w:t>per se</w:t>
      </w:r>
      <w:r>
        <w:rPr>
          <w:color w:val="000000" w:themeColor="text1"/>
        </w:rPr>
        <w:t xml:space="preserve"> did not identify any </w:t>
      </w:r>
      <w:r w:rsidR="00867603" w:rsidRPr="00DD5D09">
        <w:rPr>
          <w:color w:val="000000" w:themeColor="text1"/>
        </w:rPr>
        <w:t>potential pu</w:t>
      </w:r>
      <w:r w:rsidR="00C1746C">
        <w:rPr>
          <w:color w:val="000000" w:themeColor="text1"/>
        </w:rPr>
        <w:t>blic health and safety concerns</w:t>
      </w:r>
      <w:r w:rsidR="00867603" w:rsidRPr="00DD5D09">
        <w:rPr>
          <w:color w:val="000000" w:themeColor="text1"/>
        </w:rPr>
        <w:t xml:space="preserve">. </w:t>
      </w:r>
      <w:r>
        <w:rPr>
          <w:color w:val="000000" w:themeColor="text1"/>
        </w:rPr>
        <w:t>It concludes that, b</w:t>
      </w:r>
      <w:r w:rsidR="00867603" w:rsidRPr="005B2614">
        <w:rPr>
          <w:color w:val="000000" w:themeColor="text1"/>
        </w:rPr>
        <w:t xml:space="preserve">ased on the data provided in the Application and other available information, </w:t>
      </w:r>
      <w:r w:rsidR="00867603">
        <w:rPr>
          <w:color w:val="000000" w:themeColor="text1"/>
        </w:rPr>
        <w:t>food derived from GR2E</w:t>
      </w:r>
      <w:r w:rsidR="00867603" w:rsidRPr="005B2614">
        <w:rPr>
          <w:color w:val="000000" w:themeColor="text1"/>
        </w:rPr>
        <w:t xml:space="preserve"> is considered to be as safe for human consumption as food </w:t>
      </w:r>
      <w:r w:rsidR="00867603">
        <w:rPr>
          <w:color w:val="000000" w:themeColor="text1"/>
        </w:rPr>
        <w:t>derived from conventional rice</w:t>
      </w:r>
      <w:r w:rsidR="00867603" w:rsidRPr="005B2614">
        <w:rPr>
          <w:color w:val="000000" w:themeColor="text1"/>
        </w:rPr>
        <w:t xml:space="preserve"> cultivars.</w:t>
      </w:r>
      <w:r w:rsidR="00B4401E">
        <w:rPr>
          <w:color w:val="000000" w:themeColor="text1"/>
        </w:rPr>
        <w:t xml:space="preserve"> It is noted this document focusses on human food safety and </w:t>
      </w:r>
      <w:r w:rsidR="00B4401E" w:rsidRPr="00DD5D09">
        <w:rPr>
          <w:color w:val="000000" w:themeColor="text1"/>
        </w:rPr>
        <w:t>therefore does not address any risks to the environment that may occur as the result of growing GM plants used in food production or any risks to animals that may consu</w:t>
      </w:r>
      <w:r w:rsidR="00B4401E">
        <w:rPr>
          <w:color w:val="000000" w:themeColor="text1"/>
        </w:rPr>
        <w:t>me feed derived from GM plants.</w:t>
      </w:r>
    </w:p>
    <w:p w14:paraId="18BA4C8E" w14:textId="77777777" w:rsidR="00AC7270" w:rsidRDefault="00AC7270" w:rsidP="00BE3661">
      <w:pPr>
        <w:widowControl/>
        <w:rPr>
          <w:color w:val="000000" w:themeColor="text1"/>
        </w:rPr>
      </w:pPr>
    </w:p>
    <w:p w14:paraId="13185E35" w14:textId="77777777" w:rsidR="000D28E2" w:rsidRDefault="000D28E2">
      <w:pPr>
        <w:widowControl/>
        <w:rPr>
          <w:color w:val="000000" w:themeColor="text1"/>
        </w:rPr>
      </w:pPr>
      <w:r>
        <w:rPr>
          <w:color w:val="000000" w:themeColor="text1"/>
        </w:rPr>
        <w:br w:type="page"/>
      </w:r>
    </w:p>
    <w:p w14:paraId="3E5A2BD4" w14:textId="26A13FC6" w:rsidR="00235705" w:rsidRDefault="00AC7270" w:rsidP="00B04E2F">
      <w:pPr>
        <w:widowControl/>
        <w:autoSpaceDE w:val="0"/>
        <w:autoSpaceDN w:val="0"/>
        <w:adjustRightInd w:val="0"/>
      </w:pPr>
      <w:r>
        <w:rPr>
          <w:color w:val="000000" w:themeColor="text1"/>
        </w:rPr>
        <w:lastRenderedPageBreak/>
        <w:t xml:space="preserve">Supporting Document 2 </w:t>
      </w:r>
      <w:r w:rsidR="00C1746C">
        <w:rPr>
          <w:color w:val="000000" w:themeColor="text1"/>
        </w:rPr>
        <w:t xml:space="preserve">(SD2) </w:t>
      </w:r>
      <w:r w:rsidR="0070460F">
        <w:rPr>
          <w:color w:val="000000" w:themeColor="text1"/>
        </w:rPr>
        <w:t>reports on the</w:t>
      </w:r>
      <w:r w:rsidR="00E323CA">
        <w:rPr>
          <w:color w:val="000000" w:themeColor="text1"/>
        </w:rPr>
        <w:t xml:space="preserve"> </w:t>
      </w:r>
      <w:r w:rsidR="00AF4EC1">
        <w:rPr>
          <w:color w:val="000000" w:themeColor="text1"/>
        </w:rPr>
        <w:t>nutrition risk</w:t>
      </w:r>
      <w:r w:rsidR="00E323CA">
        <w:rPr>
          <w:color w:val="000000" w:themeColor="text1"/>
        </w:rPr>
        <w:t xml:space="preserve"> assessment</w:t>
      </w:r>
      <w:r w:rsidR="00793252" w:rsidRPr="00793252">
        <w:rPr>
          <w:color w:val="000000" w:themeColor="text1"/>
        </w:rPr>
        <w:t xml:space="preserve"> and </w:t>
      </w:r>
      <w:r w:rsidR="000903D7">
        <w:rPr>
          <w:color w:val="000000" w:themeColor="text1"/>
        </w:rPr>
        <w:t xml:space="preserve">includes a </w:t>
      </w:r>
      <w:r w:rsidR="003268C3">
        <w:rPr>
          <w:color w:val="000000" w:themeColor="text1"/>
        </w:rPr>
        <w:t>nutrition</w:t>
      </w:r>
      <w:r w:rsidR="00793252" w:rsidRPr="00F5657B">
        <w:rPr>
          <w:color w:val="000000" w:themeColor="text1"/>
        </w:rPr>
        <w:t xml:space="preserve"> </w:t>
      </w:r>
      <w:r w:rsidR="000903D7" w:rsidRPr="00F5657B">
        <w:rPr>
          <w:color w:val="000000" w:themeColor="text1"/>
        </w:rPr>
        <w:t xml:space="preserve">hazard </w:t>
      </w:r>
      <w:r w:rsidR="00DB23C0" w:rsidRPr="00F5657B">
        <w:rPr>
          <w:color w:val="000000" w:themeColor="text1"/>
        </w:rPr>
        <w:t>assessment</w:t>
      </w:r>
      <w:r w:rsidR="00DB23C0">
        <w:rPr>
          <w:color w:val="000000" w:themeColor="text1"/>
        </w:rPr>
        <w:t xml:space="preserve"> that</w:t>
      </w:r>
      <w:r w:rsidR="007C54DD">
        <w:rPr>
          <w:color w:val="000000" w:themeColor="text1"/>
        </w:rPr>
        <w:t xml:space="preserve"> </w:t>
      </w:r>
      <w:r w:rsidR="00240A6E">
        <w:t>considered</w:t>
      </w:r>
      <w:r w:rsidR="00956C35" w:rsidRPr="00AC2A88">
        <w:t xml:space="preserve"> potential adverse effects associated with β-carotene intake, and a dietary intake assessment for β-</w:t>
      </w:r>
      <w:r w:rsidR="00264D01" w:rsidRPr="00AC2A88">
        <w:t>carotene that</w:t>
      </w:r>
      <w:r w:rsidR="00956C35" w:rsidRPr="00AC2A88">
        <w:t xml:space="preserve"> assumes </w:t>
      </w:r>
      <w:r w:rsidR="001F6DAD">
        <w:rPr>
          <w:rFonts w:ascii="CharterBT-Roman" w:hAnsi="CharterBT-Roman" w:cs="CharterBT-Roman"/>
          <w:szCs w:val="22"/>
          <w:lang w:eastAsia="en-GB" w:bidi="ar-SA"/>
        </w:rPr>
        <w:t>all rice (</w:t>
      </w:r>
      <w:r w:rsidR="0080000E" w:rsidRPr="009928BD">
        <w:rPr>
          <w:rFonts w:ascii="CharterBT-Roman" w:hAnsi="CharterBT-Roman" w:cs="CharterBT-Roman"/>
          <w:szCs w:val="22"/>
          <w:lang w:eastAsia="en-GB" w:bidi="ar-SA"/>
        </w:rPr>
        <w:t>including</w:t>
      </w:r>
      <w:r w:rsidR="0043187F" w:rsidRPr="009928BD">
        <w:rPr>
          <w:rFonts w:ascii="CharterBT-Roman" w:hAnsi="CharterBT-Roman" w:cs="CharterBT-Roman"/>
          <w:szCs w:val="22"/>
          <w:lang w:eastAsia="en-GB" w:bidi="ar-SA"/>
        </w:rPr>
        <w:t xml:space="preserve"> brown and milled</w:t>
      </w:r>
      <w:r w:rsidR="001F6DAD" w:rsidRPr="009928BD">
        <w:rPr>
          <w:rFonts w:ascii="CharterBT-Roman" w:hAnsi="CharterBT-Roman" w:cs="CharterBT-Roman"/>
          <w:szCs w:val="22"/>
          <w:lang w:eastAsia="en-GB" w:bidi="ar-SA"/>
        </w:rPr>
        <w:t xml:space="preserve"> rice, rice</w:t>
      </w:r>
      <w:r w:rsidR="001F6DAD" w:rsidRPr="00A9147E">
        <w:rPr>
          <w:rFonts w:ascii="CharterBT-Roman" w:hAnsi="CharterBT-Roman" w:cs="CharterBT-Roman"/>
          <w:szCs w:val="22"/>
          <w:lang w:eastAsia="en-GB" w:bidi="ar-SA"/>
        </w:rPr>
        <w:t xml:space="preserve"> bran and rice bran oil</w:t>
      </w:r>
      <w:r w:rsidR="00A837A6">
        <w:rPr>
          <w:rStyle w:val="FootnoteReference"/>
          <w:rFonts w:ascii="CharterBT-Roman" w:hAnsi="CharterBT-Roman" w:cs="CharterBT-Roman"/>
          <w:szCs w:val="22"/>
          <w:lang w:eastAsia="en-GB" w:bidi="ar-SA"/>
        </w:rPr>
        <w:footnoteReference w:id="4"/>
      </w:r>
      <w:r w:rsidR="001F6DAD" w:rsidRPr="00A9147E">
        <w:rPr>
          <w:rFonts w:ascii="CharterBT-Roman" w:hAnsi="CharterBT-Roman" w:cs="CharterBT-Roman"/>
          <w:szCs w:val="22"/>
          <w:lang w:eastAsia="en-GB" w:bidi="ar-SA"/>
        </w:rPr>
        <w:t xml:space="preserve"> </w:t>
      </w:r>
      <w:r w:rsidR="00223CC4">
        <w:rPr>
          <w:rFonts w:ascii="CharterBT-Roman" w:hAnsi="CharterBT-Roman" w:cs="CharterBT-Roman"/>
          <w:szCs w:val="22"/>
          <w:lang w:eastAsia="en-GB" w:bidi="ar-SA"/>
        </w:rPr>
        <w:t xml:space="preserve">that are </w:t>
      </w:r>
      <w:r w:rsidR="001F6DAD">
        <w:rPr>
          <w:rFonts w:ascii="CharterBT-Roman" w:hAnsi="CharterBT-Roman" w:cs="CharterBT-Roman"/>
          <w:szCs w:val="22"/>
          <w:lang w:eastAsia="en-GB" w:bidi="ar-SA"/>
        </w:rPr>
        <w:t xml:space="preserve">consumed as is or in processed foods and mixed dishes) </w:t>
      </w:r>
      <w:r w:rsidR="00C7570C">
        <w:t>consumed in</w:t>
      </w:r>
      <w:r w:rsidR="00956C35" w:rsidRPr="00AC2A88">
        <w:t xml:space="preserve"> Australia and New Zealand are replaced with GR2E</w:t>
      </w:r>
      <w:r w:rsidR="00793252" w:rsidRPr="00240A6E">
        <w:t xml:space="preserve"> products</w:t>
      </w:r>
      <w:r w:rsidR="00956C35" w:rsidRPr="00AC2A88">
        <w:t>.</w:t>
      </w:r>
    </w:p>
    <w:p w14:paraId="0948BBDF" w14:textId="16706281" w:rsidR="00483556" w:rsidRDefault="00483556" w:rsidP="00956C35">
      <w:pPr>
        <w:widowControl/>
        <w:autoSpaceDE w:val="0"/>
        <w:autoSpaceDN w:val="0"/>
        <w:adjustRightInd w:val="0"/>
      </w:pPr>
    </w:p>
    <w:p w14:paraId="707FB1D9" w14:textId="048954EC" w:rsidR="00483556" w:rsidRDefault="00793252" w:rsidP="0017795F">
      <w:pPr>
        <w:widowControl/>
        <w:autoSpaceDE w:val="0"/>
        <w:autoSpaceDN w:val="0"/>
        <w:adjustRightInd w:val="0"/>
      </w:pPr>
      <w:r w:rsidRPr="00793252">
        <w:rPr>
          <w:lang w:eastAsia="en-AU" w:bidi="ar-SA"/>
        </w:rPr>
        <w:t>P</w:t>
      </w:r>
      <w:r w:rsidR="007F5745" w:rsidRPr="00793252">
        <w:rPr>
          <w:lang w:eastAsia="en-AU" w:bidi="ar-SA"/>
        </w:rPr>
        <w:t>rovitamin</w:t>
      </w:r>
      <w:r w:rsidR="007F5745">
        <w:rPr>
          <w:lang w:eastAsia="en-AU" w:bidi="ar-SA"/>
        </w:rPr>
        <w:t xml:space="preserve"> A carotenoids </w:t>
      </w:r>
      <w:r w:rsidR="007F5745" w:rsidRPr="00793252">
        <w:rPr>
          <w:lang w:eastAsia="en-AU" w:bidi="ar-SA"/>
        </w:rPr>
        <w:t>present in GR2E</w:t>
      </w:r>
      <w:r w:rsidR="00240A6E">
        <w:rPr>
          <w:lang w:eastAsia="en-AU" w:bidi="ar-SA"/>
        </w:rPr>
        <w:t xml:space="preserve">, namely </w:t>
      </w:r>
      <w:r w:rsidR="00FD7589">
        <w:rPr>
          <w:lang w:eastAsia="en-AU" w:bidi="ar-SA"/>
        </w:rPr>
        <w:t>alpha (</w:t>
      </w:r>
      <w:r w:rsidR="007F5745">
        <w:rPr>
          <w:rFonts w:cs="Arial"/>
          <w:lang w:eastAsia="en-AU" w:bidi="ar-SA"/>
        </w:rPr>
        <w:t>α</w:t>
      </w:r>
      <w:r w:rsidR="00FD7589">
        <w:rPr>
          <w:rFonts w:cs="Arial"/>
          <w:lang w:eastAsia="en-AU" w:bidi="ar-SA"/>
        </w:rPr>
        <w:t>)</w:t>
      </w:r>
      <w:r w:rsidR="007F5745">
        <w:rPr>
          <w:lang w:eastAsia="en-AU" w:bidi="ar-SA"/>
        </w:rPr>
        <w:t xml:space="preserve">-carotene, </w:t>
      </w:r>
      <w:r w:rsidR="007F5745">
        <w:rPr>
          <w:rFonts w:cs="Arial"/>
          <w:lang w:eastAsia="en-AU" w:bidi="ar-SA"/>
        </w:rPr>
        <w:t>β</w:t>
      </w:r>
      <w:r w:rsidR="007F5745">
        <w:rPr>
          <w:lang w:eastAsia="en-AU" w:bidi="ar-SA"/>
        </w:rPr>
        <w:t xml:space="preserve">-carotene and </w:t>
      </w:r>
      <w:r w:rsidR="007F5745">
        <w:rPr>
          <w:rFonts w:cs="Arial"/>
          <w:lang w:eastAsia="en-AU" w:bidi="ar-SA"/>
        </w:rPr>
        <w:t>β</w:t>
      </w:r>
      <w:r w:rsidR="007F5745">
        <w:rPr>
          <w:lang w:eastAsia="en-AU" w:bidi="ar-SA"/>
        </w:rPr>
        <w:t>-cryptoxanthin</w:t>
      </w:r>
      <w:r w:rsidR="001F6DAD">
        <w:rPr>
          <w:lang w:eastAsia="en-AU" w:bidi="ar-SA"/>
        </w:rPr>
        <w:t>,</w:t>
      </w:r>
      <w:r w:rsidR="0017795F">
        <w:rPr>
          <w:lang w:eastAsia="en-AU" w:bidi="ar-SA"/>
        </w:rPr>
        <w:t xml:space="preserve"> </w:t>
      </w:r>
      <w:r w:rsidR="007F5745">
        <w:rPr>
          <w:lang w:eastAsia="en-AU" w:bidi="ar-SA"/>
        </w:rPr>
        <w:t xml:space="preserve">are </w:t>
      </w:r>
      <w:r w:rsidR="001F6DAD">
        <w:rPr>
          <w:lang w:eastAsia="en-AU" w:bidi="ar-SA"/>
        </w:rPr>
        <w:t>precursors of</w:t>
      </w:r>
      <w:r w:rsidR="001F6DAD" w:rsidRPr="00793252">
        <w:rPr>
          <w:lang w:eastAsia="en-AU" w:bidi="ar-SA"/>
        </w:rPr>
        <w:t xml:space="preserve"> </w:t>
      </w:r>
      <w:r w:rsidR="001F6DAD">
        <w:rPr>
          <w:lang w:eastAsia="en-AU" w:bidi="ar-SA"/>
        </w:rPr>
        <w:t xml:space="preserve">vitamin A that are </w:t>
      </w:r>
      <w:r w:rsidR="0017795F">
        <w:rPr>
          <w:lang w:eastAsia="en-AU" w:bidi="ar-SA"/>
        </w:rPr>
        <w:t>widely available in vegetables, fruits and cereals</w:t>
      </w:r>
      <w:r w:rsidR="007F5745">
        <w:rPr>
          <w:lang w:eastAsia="en-AU" w:bidi="ar-SA"/>
        </w:rPr>
        <w:t xml:space="preserve">. </w:t>
      </w:r>
      <w:r w:rsidR="0017795F">
        <w:rPr>
          <w:lang w:eastAsia="en-AU" w:bidi="ar-SA"/>
        </w:rPr>
        <w:t>H</w:t>
      </w:r>
      <w:r w:rsidR="00240A6E">
        <w:rPr>
          <w:lang w:eastAsia="en-AU" w:bidi="ar-SA"/>
        </w:rPr>
        <w:t>owever</w:t>
      </w:r>
      <w:r w:rsidR="0017795F">
        <w:rPr>
          <w:lang w:eastAsia="en-AU" w:bidi="ar-SA"/>
        </w:rPr>
        <w:t>,</w:t>
      </w:r>
      <w:r w:rsidR="00240A6E">
        <w:rPr>
          <w:lang w:eastAsia="en-AU" w:bidi="ar-SA"/>
        </w:rPr>
        <w:t xml:space="preserve"> </w:t>
      </w:r>
      <w:r w:rsidR="0017795F">
        <w:rPr>
          <w:lang w:eastAsia="en-AU" w:bidi="ar-SA"/>
        </w:rPr>
        <w:t>high</w:t>
      </w:r>
      <w:r w:rsidR="00105E7C">
        <w:rPr>
          <w:lang w:eastAsia="en-AU" w:bidi="ar-SA"/>
        </w:rPr>
        <w:t xml:space="preserve"> intake of </w:t>
      </w:r>
      <w:r w:rsidR="00105E7C" w:rsidRPr="00240A6E">
        <w:rPr>
          <w:lang w:eastAsia="en-AU" w:bidi="ar-SA"/>
        </w:rPr>
        <w:t>β</w:t>
      </w:r>
      <w:r w:rsidR="00105E7C">
        <w:rPr>
          <w:lang w:eastAsia="en-AU" w:bidi="ar-SA"/>
        </w:rPr>
        <w:t xml:space="preserve">-carotene </w:t>
      </w:r>
      <w:r w:rsidR="00240A6E">
        <w:rPr>
          <w:lang w:eastAsia="en-AU" w:bidi="ar-SA"/>
        </w:rPr>
        <w:t xml:space="preserve">in </w:t>
      </w:r>
      <w:r w:rsidR="00240A6E" w:rsidRPr="00240A6E">
        <w:rPr>
          <w:lang w:eastAsia="en-AU" w:bidi="ar-SA"/>
        </w:rPr>
        <w:t>foods</w:t>
      </w:r>
      <w:r w:rsidR="0017795F" w:rsidRPr="0017795F">
        <w:rPr>
          <w:lang w:eastAsia="en-AU" w:bidi="ar-SA"/>
        </w:rPr>
        <w:t xml:space="preserve"> </w:t>
      </w:r>
      <w:r w:rsidR="0017795F">
        <w:rPr>
          <w:lang w:eastAsia="en-AU" w:bidi="ar-SA"/>
        </w:rPr>
        <w:t>or from</w:t>
      </w:r>
      <w:r w:rsidR="0017795F" w:rsidRPr="00240A6E">
        <w:rPr>
          <w:lang w:eastAsia="en-AU" w:bidi="ar-SA"/>
        </w:rPr>
        <w:t xml:space="preserve"> </w:t>
      </w:r>
      <w:r w:rsidR="0017795F">
        <w:rPr>
          <w:lang w:eastAsia="en-AU" w:bidi="ar-SA"/>
        </w:rPr>
        <w:t>supplements</w:t>
      </w:r>
      <w:r w:rsidR="00240A6E" w:rsidRPr="00240A6E">
        <w:rPr>
          <w:lang w:eastAsia="en-AU" w:bidi="ar-SA"/>
        </w:rPr>
        <w:t xml:space="preserve"> </w:t>
      </w:r>
      <w:r w:rsidR="007F5745">
        <w:rPr>
          <w:lang w:eastAsia="en-AU" w:bidi="ar-SA"/>
        </w:rPr>
        <w:t xml:space="preserve">has not been </w:t>
      </w:r>
      <w:r w:rsidR="00240A6E" w:rsidRPr="00240A6E">
        <w:rPr>
          <w:lang w:eastAsia="en-AU" w:bidi="ar-SA"/>
        </w:rPr>
        <w:t>associated with</w:t>
      </w:r>
      <w:r w:rsidR="00240A6E">
        <w:rPr>
          <w:lang w:eastAsia="en-AU" w:bidi="ar-SA"/>
        </w:rPr>
        <w:t xml:space="preserve"> vitamin A toxicity</w:t>
      </w:r>
      <w:r w:rsidR="007F5745" w:rsidRPr="00240A6E">
        <w:rPr>
          <w:lang w:eastAsia="en-AU" w:bidi="ar-SA"/>
        </w:rPr>
        <w:t>.</w:t>
      </w:r>
      <w:r w:rsidR="00105E7C">
        <w:rPr>
          <w:lang w:eastAsia="en-AU" w:bidi="ar-SA"/>
        </w:rPr>
        <w:t xml:space="preserve"> </w:t>
      </w:r>
      <w:proofErr w:type="spellStart"/>
      <w:r w:rsidR="00105E7C">
        <w:rPr>
          <w:lang w:eastAsia="en-AU" w:bidi="ar-SA"/>
        </w:rPr>
        <w:t>Carotenemia</w:t>
      </w:r>
      <w:proofErr w:type="spellEnd"/>
      <w:r w:rsidR="00105E7C">
        <w:rPr>
          <w:lang w:eastAsia="en-AU" w:bidi="ar-SA"/>
        </w:rPr>
        <w:t xml:space="preserve">, a clinically benign condition involving </w:t>
      </w:r>
      <w:r w:rsidR="00105E7C" w:rsidRPr="004252E2">
        <w:t xml:space="preserve">yellow to </w:t>
      </w:r>
      <w:r w:rsidR="00240A6E">
        <w:t>orange</w:t>
      </w:r>
      <w:r w:rsidR="00105E7C" w:rsidRPr="004252E2">
        <w:t xml:space="preserve"> skin pigmentation, can occur after intakes of large amounts of carotene</w:t>
      </w:r>
      <w:r w:rsidR="00240A6E">
        <w:t>-</w:t>
      </w:r>
      <w:r w:rsidR="00105E7C" w:rsidRPr="004252E2">
        <w:t xml:space="preserve">rich foods or </w:t>
      </w:r>
      <w:r w:rsidR="00105E7C">
        <w:t xml:space="preserve">high </w:t>
      </w:r>
      <w:r w:rsidR="00240A6E">
        <w:t>doses</w:t>
      </w:r>
      <w:r w:rsidR="00105E7C">
        <w:t xml:space="preserve"> of </w:t>
      </w:r>
      <w:r w:rsidR="00105E7C" w:rsidRPr="004252E2">
        <w:t>β-carotene (≥ 30 mg/day) in supplement form</w:t>
      </w:r>
      <w:r w:rsidR="00105E7C">
        <w:t xml:space="preserve">. </w:t>
      </w:r>
      <w:r w:rsidR="00105E7C" w:rsidRPr="004252E2">
        <w:t xml:space="preserve">Daily intake of up to 50 mg β-carotene </w:t>
      </w:r>
      <w:r w:rsidR="00105E7C">
        <w:t>in supplemental form</w:t>
      </w:r>
      <w:r w:rsidR="00105E7C" w:rsidRPr="004252E2">
        <w:t xml:space="preserve"> for several years did not result in adverse</w:t>
      </w:r>
      <w:r w:rsidR="00105E7C" w:rsidRPr="00240A6E">
        <w:t xml:space="preserve"> </w:t>
      </w:r>
      <w:r w:rsidR="00995835">
        <w:t>health</w:t>
      </w:r>
      <w:r w:rsidR="00105E7C" w:rsidRPr="004252E2">
        <w:t xml:space="preserve"> effects in healthy people or people with different forms of cancer, except those with or at risk of developing lung cancer. A slight, but </w:t>
      </w:r>
      <w:r w:rsidR="00105E7C">
        <w:t xml:space="preserve">statistically </w:t>
      </w:r>
      <w:r w:rsidR="00105E7C" w:rsidRPr="004252E2">
        <w:t>significant, increased incidence of lung cancer and mortality rate was shown in heavy smokers taking 20 mg β-carotene supplements per day for 5 to 8 years. This risk was shown to decline within four to six years after discontinuing β-carotene supplementation.</w:t>
      </w:r>
    </w:p>
    <w:p w14:paraId="7B6DD122" w14:textId="5BD0E485" w:rsidR="00E323CA" w:rsidRDefault="00E323CA" w:rsidP="0095382E">
      <w:pPr>
        <w:widowControl/>
        <w:rPr>
          <w:lang w:eastAsia="en-AU" w:bidi="ar-SA"/>
        </w:rPr>
      </w:pPr>
    </w:p>
    <w:p w14:paraId="1B072952" w14:textId="02529157" w:rsidR="00313B91" w:rsidRDefault="00313B91" w:rsidP="0017795F">
      <w:pPr>
        <w:widowControl/>
        <w:autoSpaceDE w:val="0"/>
        <w:autoSpaceDN w:val="0"/>
        <w:adjustRightInd w:val="0"/>
        <w:rPr>
          <w:rFonts w:ascii="CharterBT-Roman" w:hAnsi="CharterBT-Roman" w:cs="CharterBT-Roman"/>
          <w:szCs w:val="22"/>
          <w:lang w:eastAsia="en-GB" w:bidi="ar-SA"/>
        </w:rPr>
      </w:pPr>
      <w:r w:rsidRPr="00A9147E">
        <w:rPr>
          <w:rFonts w:ascii="CharterBT-Roman" w:hAnsi="CharterBT-Roman" w:cs="CharterBT-Roman"/>
          <w:szCs w:val="22"/>
          <w:lang w:eastAsia="en-GB" w:bidi="ar-SA"/>
        </w:rPr>
        <w:t>The dietary intake assessment conclude</w:t>
      </w:r>
      <w:r w:rsidR="00105E7C">
        <w:rPr>
          <w:rFonts w:ascii="CharterBT-Roman" w:hAnsi="CharterBT-Roman" w:cs="CharterBT-Roman"/>
          <w:szCs w:val="22"/>
          <w:lang w:eastAsia="en-GB" w:bidi="ar-SA"/>
        </w:rPr>
        <w:t>s</w:t>
      </w:r>
      <w:r w:rsidRPr="00A9147E">
        <w:rPr>
          <w:rFonts w:ascii="CharterBT-Roman" w:hAnsi="CharterBT-Roman" w:cs="CharterBT-Roman"/>
          <w:szCs w:val="22"/>
          <w:lang w:eastAsia="en-GB" w:bidi="ar-SA"/>
        </w:rPr>
        <w:t xml:space="preserve"> th</w:t>
      </w:r>
      <w:r w:rsidR="005E5B98">
        <w:rPr>
          <w:rFonts w:ascii="CharterBT-Roman" w:hAnsi="CharterBT-Roman" w:cs="CharterBT-Roman"/>
          <w:szCs w:val="22"/>
          <w:lang w:eastAsia="en-GB" w:bidi="ar-SA"/>
        </w:rPr>
        <w:t xml:space="preserve">at </w:t>
      </w:r>
      <w:r w:rsidR="00A17FEF">
        <w:rPr>
          <w:rFonts w:ascii="CharterBT-Roman" w:hAnsi="CharterBT-Roman" w:cs="CharterBT-Roman"/>
          <w:szCs w:val="22"/>
          <w:lang w:eastAsia="en-GB" w:bidi="ar-SA"/>
        </w:rPr>
        <w:t xml:space="preserve">if all rice </w:t>
      </w:r>
      <w:r w:rsidRPr="00A9147E">
        <w:rPr>
          <w:rFonts w:ascii="CharterBT-Roman" w:hAnsi="CharterBT-Roman" w:cs="CharterBT-Roman"/>
          <w:szCs w:val="22"/>
          <w:lang w:eastAsia="en-GB" w:bidi="ar-SA"/>
        </w:rPr>
        <w:t xml:space="preserve">in the Australian and New Zealand markets </w:t>
      </w:r>
      <w:r w:rsidR="00A17FEF">
        <w:rPr>
          <w:rFonts w:ascii="CharterBT-Roman" w:hAnsi="CharterBT-Roman" w:cs="CharterBT-Roman"/>
          <w:szCs w:val="22"/>
          <w:lang w:eastAsia="en-GB" w:bidi="ar-SA"/>
        </w:rPr>
        <w:t xml:space="preserve">was replaced </w:t>
      </w:r>
      <w:r w:rsidRPr="00A9147E">
        <w:rPr>
          <w:rFonts w:ascii="CharterBT-Roman" w:hAnsi="CharterBT-Roman" w:cs="CharterBT-Roman"/>
          <w:szCs w:val="22"/>
          <w:lang w:eastAsia="en-GB" w:bidi="ar-SA"/>
        </w:rPr>
        <w:t xml:space="preserve">with GR2E </w:t>
      </w:r>
      <w:r w:rsidR="00B22F05">
        <w:rPr>
          <w:rFonts w:ascii="CharterBT-Roman" w:hAnsi="CharterBT-Roman" w:cs="CharterBT-Roman"/>
          <w:szCs w:val="22"/>
          <w:lang w:eastAsia="en-GB" w:bidi="ar-SA"/>
        </w:rPr>
        <w:t xml:space="preserve">products </w:t>
      </w:r>
      <w:r w:rsidR="00A17FEF">
        <w:rPr>
          <w:rFonts w:ascii="CharterBT-Roman" w:hAnsi="CharterBT-Roman" w:cs="CharterBT-Roman"/>
          <w:szCs w:val="22"/>
          <w:lang w:eastAsia="en-GB" w:bidi="ar-SA"/>
        </w:rPr>
        <w:t xml:space="preserve">this </w:t>
      </w:r>
      <w:r w:rsidRPr="00A9147E">
        <w:rPr>
          <w:rFonts w:ascii="CharterBT-Roman" w:hAnsi="CharterBT-Roman" w:cs="CharterBT-Roman"/>
          <w:szCs w:val="22"/>
          <w:lang w:eastAsia="en-GB" w:bidi="ar-SA"/>
        </w:rPr>
        <w:t>may result in a 2</w:t>
      </w:r>
      <w:r w:rsidR="0080000E">
        <w:rPr>
          <w:rFonts w:ascii="CharterBT-Roman" w:hAnsi="CharterBT-Roman" w:cs="CharterBT-Roman"/>
          <w:szCs w:val="22"/>
          <w:lang w:eastAsia="en-GB" w:bidi="ar-SA"/>
        </w:rPr>
        <w:t>–</w:t>
      </w:r>
      <w:r w:rsidRPr="00A9147E">
        <w:rPr>
          <w:rFonts w:ascii="CharterBT-Roman" w:hAnsi="CharterBT-Roman" w:cs="CharterBT-Roman"/>
          <w:szCs w:val="22"/>
          <w:lang w:eastAsia="en-GB" w:bidi="ar-SA"/>
        </w:rPr>
        <w:t>13% (40</w:t>
      </w:r>
      <w:r w:rsidR="00C7570C">
        <w:rPr>
          <w:rFonts w:ascii="CharterBT-Roman" w:hAnsi="CharterBT-Roman" w:cs="CharterBT-Roman"/>
          <w:szCs w:val="22"/>
          <w:lang w:eastAsia="en-GB" w:bidi="ar-SA"/>
        </w:rPr>
        <w:noBreakHyphen/>
      </w:r>
      <w:r w:rsidRPr="00A9147E">
        <w:rPr>
          <w:rFonts w:ascii="CharterBT-Roman" w:hAnsi="CharterBT-Roman" w:cs="CharterBT-Roman"/>
          <w:szCs w:val="22"/>
          <w:lang w:eastAsia="en-GB" w:bidi="ar-SA"/>
        </w:rPr>
        <w:t>336 µg per day) increase in estimated intakes of β-carotene by Australian and New Zealand population groups. The increase in β-carotene intakes is equivalent to the amount of β</w:t>
      </w:r>
      <w:r w:rsidR="0080000E">
        <w:rPr>
          <w:rFonts w:ascii="CharterBT-Roman" w:hAnsi="CharterBT-Roman" w:cs="CharterBT-Roman"/>
          <w:szCs w:val="22"/>
          <w:lang w:eastAsia="en-GB" w:bidi="ar-SA"/>
        </w:rPr>
        <w:t>-</w:t>
      </w:r>
      <w:r w:rsidRPr="00A9147E">
        <w:rPr>
          <w:rFonts w:ascii="CharterBT-Roman" w:hAnsi="CharterBT-Roman" w:cs="CharterBT-Roman"/>
          <w:szCs w:val="22"/>
          <w:lang w:eastAsia="en-GB" w:bidi="ar-SA"/>
        </w:rPr>
        <w:t>carotene from approximately 1 teaspoon or less of carrot juice.</w:t>
      </w:r>
    </w:p>
    <w:p w14:paraId="1295C7C4" w14:textId="71E333B0" w:rsidR="00313B91" w:rsidRDefault="00313B91" w:rsidP="00956C35">
      <w:pPr>
        <w:widowControl/>
        <w:autoSpaceDE w:val="0"/>
        <w:autoSpaceDN w:val="0"/>
        <w:adjustRightInd w:val="0"/>
        <w:rPr>
          <w:rFonts w:ascii="CharterBT-Roman" w:hAnsi="CharterBT-Roman" w:cs="CharterBT-Roman"/>
          <w:szCs w:val="22"/>
          <w:lang w:eastAsia="en-GB" w:bidi="ar-SA"/>
        </w:rPr>
      </w:pPr>
    </w:p>
    <w:p w14:paraId="3ED92BC9" w14:textId="1931328E" w:rsidR="00313B91" w:rsidRDefault="00313B91" w:rsidP="00313B91">
      <w:pPr>
        <w:widowControl/>
        <w:autoSpaceDE w:val="0"/>
        <w:autoSpaceDN w:val="0"/>
        <w:adjustRightInd w:val="0"/>
        <w:rPr>
          <w:rFonts w:ascii="CharterBT-Roman" w:hAnsi="CharterBT-Roman" w:cs="CharterBT-Roman"/>
          <w:szCs w:val="22"/>
          <w:lang w:eastAsia="en-GB" w:bidi="ar-SA"/>
        </w:rPr>
      </w:pPr>
      <w:r>
        <w:rPr>
          <w:rFonts w:ascii="CharterBT-Roman" w:hAnsi="CharterBT-Roman" w:cs="CharterBT-Roman"/>
          <w:szCs w:val="22"/>
          <w:lang w:eastAsia="en-GB" w:bidi="ar-SA"/>
        </w:rPr>
        <w:t xml:space="preserve">Based on a comparison of the doses resulting in no adverse effects in human studies and the relatively small increase in total dietary intake of </w:t>
      </w:r>
      <w:r w:rsidRPr="008C3E9E">
        <w:rPr>
          <w:rFonts w:ascii="CharterBT-Roman" w:hAnsi="CharterBT-Roman" w:cs="CharterBT-Roman"/>
          <w:szCs w:val="22"/>
          <w:lang w:eastAsia="en-GB" w:bidi="ar-SA"/>
        </w:rPr>
        <w:t xml:space="preserve">β-carotene </w:t>
      </w:r>
      <w:r>
        <w:rPr>
          <w:rFonts w:ascii="CharterBT-Roman" w:hAnsi="CharterBT-Roman" w:cs="CharterBT-Roman"/>
          <w:szCs w:val="22"/>
          <w:lang w:eastAsia="en-GB" w:bidi="ar-SA"/>
        </w:rPr>
        <w:t xml:space="preserve">due to consumption of </w:t>
      </w:r>
      <w:r w:rsidRPr="00A9147E">
        <w:rPr>
          <w:rFonts w:ascii="CharterBT-Roman" w:hAnsi="CharterBT-Roman" w:cs="CharterBT-Roman"/>
          <w:szCs w:val="22"/>
          <w:lang w:eastAsia="en-GB" w:bidi="ar-SA"/>
        </w:rPr>
        <w:t xml:space="preserve">GR2E </w:t>
      </w:r>
      <w:r>
        <w:rPr>
          <w:rFonts w:ascii="CharterBT-Roman" w:hAnsi="CharterBT-Roman" w:cs="CharterBT-Roman"/>
          <w:szCs w:val="22"/>
          <w:lang w:eastAsia="en-GB" w:bidi="ar-SA"/>
        </w:rPr>
        <w:t>rice</w:t>
      </w:r>
      <w:r w:rsidR="00AC6B49">
        <w:rPr>
          <w:rFonts w:ascii="CharterBT-Roman" w:hAnsi="CharterBT-Roman" w:cs="CharterBT-Roman"/>
          <w:szCs w:val="22"/>
          <w:lang w:eastAsia="en-GB" w:bidi="ar-SA"/>
        </w:rPr>
        <w:t xml:space="preserve"> products</w:t>
      </w:r>
      <w:r>
        <w:rPr>
          <w:rFonts w:ascii="CharterBT-Roman" w:hAnsi="CharterBT-Roman" w:cs="CharterBT-Roman"/>
          <w:szCs w:val="22"/>
          <w:lang w:eastAsia="en-GB" w:bidi="ar-SA"/>
        </w:rPr>
        <w:t xml:space="preserve">, </w:t>
      </w:r>
      <w:r w:rsidR="000F13EB">
        <w:rPr>
          <w:rFonts w:ascii="CharterBT-Roman" w:hAnsi="CharterBT-Roman" w:cs="CharterBT-Roman"/>
          <w:szCs w:val="22"/>
          <w:lang w:eastAsia="en-GB" w:bidi="ar-SA"/>
        </w:rPr>
        <w:t>it is</w:t>
      </w:r>
      <w:r>
        <w:rPr>
          <w:rFonts w:ascii="CharterBT-Roman" w:hAnsi="CharterBT-Roman" w:cs="CharterBT-Roman"/>
          <w:szCs w:val="22"/>
          <w:lang w:eastAsia="en-GB" w:bidi="ar-SA"/>
        </w:rPr>
        <w:t xml:space="preserve"> concluded that GR2E rice consumption </w:t>
      </w:r>
      <w:r w:rsidRPr="00A9147E">
        <w:rPr>
          <w:rFonts w:ascii="CharterBT-Roman" w:hAnsi="CharterBT-Roman" w:cs="CharterBT-Roman"/>
          <w:szCs w:val="22"/>
          <w:lang w:eastAsia="en-GB" w:bidi="ar-SA"/>
        </w:rPr>
        <w:t xml:space="preserve">will </w:t>
      </w:r>
      <w:r>
        <w:rPr>
          <w:rFonts w:ascii="CharterBT-Roman" w:hAnsi="CharterBT-Roman" w:cs="CharterBT-Roman"/>
          <w:szCs w:val="22"/>
          <w:lang w:eastAsia="en-GB" w:bidi="ar-SA"/>
        </w:rPr>
        <w:t xml:space="preserve">not </w:t>
      </w:r>
      <w:r w:rsidRPr="00A9147E">
        <w:rPr>
          <w:rFonts w:ascii="CharterBT-Roman" w:hAnsi="CharterBT-Roman" w:cs="CharterBT-Roman"/>
          <w:szCs w:val="22"/>
          <w:lang w:eastAsia="en-GB" w:bidi="ar-SA"/>
        </w:rPr>
        <w:t xml:space="preserve">pose a </w:t>
      </w:r>
      <w:r>
        <w:rPr>
          <w:rFonts w:ascii="CharterBT-Roman" w:hAnsi="CharterBT-Roman" w:cs="CharterBT-Roman"/>
          <w:szCs w:val="22"/>
          <w:lang w:eastAsia="en-GB" w:bidi="ar-SA"/>
        </w:rPr>
        <w:t xml:space="preserve">nutritional </w:t>
      </w:r>
      <w:r w:rsidRPr="00A9147E">
        <w:rPr>
          <w:rFonts w:ascii="CharterBT-Roman" w:hAnsi="CharterBT-Roman" w:cs="CharterBT-Roman"/>
          <w:szCs w:val="22"/>
          <w:lang w:eastAsia="en-GB" w:bidi="ar-SA"/>
        </w:rPr>
        <w:t xml:space="preserve">risk to the Australian and New Zealand population. </w:t>
      </w:r>
    </w:p>
    <w:p w14:paraId="67DDBC01" w14:textId="77777777" w:rsidR="004F69F6" w:rsidRPr="00932F14" w:rsidRDefault="00D3171B" w:rsidP="00612E38">
      <w:pPr>
        <w:pStyle w:val="Heading2"/>
        <w:keepNext w:val="0"/>
        <w:widowControl/>
      </w:pPr>
      <w:bookmarkStart w:id="42" w:name="_Toc175381442"/>
      <w:bookmarkStart w:id="43" w:name="_Toc286391010"/>
      <w:bookmarkStart w:id="44" w:name="_Toc300933426"/>
      <w:bookmarkStart w:id="45" w:name="_Toc488316684"/>
      <w:bookmarkEnd w:id="38"/>
      <w:bookmarkEnd w:id="39"/>
      <w:bookmarkEnd w:id="40"/>
      <w:bookmarkEnd w:id="41"/>
      <w:r>
        <w:t>2</w:t>
      </w:r>
      <w:r w:rsidR="0045556F">
        <w:t>.</w:t>
      </w:r>
      <w:r w:rsidR="00850459">
        <w:t>2</w:t>
      </w:r>
      <w:r w:rsidR="00271F00">
        <w:tab/>
      </w:r>
      <w:bookmarkEnd w:id="42"/>
      <w:bookmarkEnd w:id="43"/>
      <w:bookmarkEnd w:id="44"/>
      <w:r w:rsidR="0045556F">
        <w:t>R</w:t>
      </w:r>
      <w:r w:rsidR="00707E72">
        <w:t>isk m</w:t>
      </w:r>
      <w:r w:rsidR="008A35FB">
        <w:t>anagement</w:t>
      </w:r>
      <w:bookmarkEnd w:id="45"/>
    </w:p>
    <w:p w14:paraId="54144A4F" w14:textId="5C2A05A2" w:rsidR="009B67D3" w:rsidRDefault="009B67D3" w:rsidP="009B67D3">
      <w:pPr>
        <w:pStyle w:val="PlainText"/>
      </w:pPr>
      <w:bookmarkStart w:id="46" w:name="_Toc300761910"/>
      <w:r>
        <w:t>FSANZ has considered the safety of the GR2E genetic modification</w:t>
      </w:r>
      <w:r w:rsidR="00DF7F25">
        <w:t>, and</w:t>
      </w:r>
      <w:r>
        <w:t xml:space="preserve"> public health nutrition issues that may arise should </w:t>
      </w:r>
      <w:r w:rsidR="009F71DB">
        <w:t xml:space="preserve">food derived from </w:t>
      </w:r>
      <w:r>
        <w:t>GR2E</w:t>
      </w:r>
      <w:r w:rsidR="009F71DB">
        <w:t xml:space="preserve"> </w:t>
      </w:r>
      <w:r>
        <w:t>be so</w:t>
      </w:r>
      <w:r w:rsidR="00854F78">
        <w:t>ld in Australia and New Zealand (section 2.1, SD1 and SD2).</w:t>
      </w:r>
      <w:r>
        <w:t xml:space="preserve"> </w:t>
      </w:r>
    </w:p>
    <w:p w14:paraId="29178060" w14:textId="1F8F8C5D" w:rsidR="00DF7F25" w:rsidRDefault="00DF7F25" w:rsidP="009B67D3">
      <w:pPr>
        <w:pStyle w:val="PlainText"/>
      </w:pPr>
    </w:p>
    <w:p w14:paraId="3EE3CCAA" w14:textId="3D1BD472" w:rsidR="008E3D30" w:rsidRPr="00DA3F56" w:rsidRDefault="009B67D3" w:rsidP="008E3D30">
      <w:pPr>
        <w:widowControl/>
        <w:rPr>
          <w:lang w:eastAsia="en-AU" w:bidi="ar-SA"/>
        </w:rPr>
      </w:pPr>
      <w:r>
        <w:rPr>
          <w:lang w:eastAsia="en-AU" w:bidi="ar-SA"/>
        </w:rPr>
        <w:t>FSANZ notes that</w:t>
      </w:r>
      <w:r w:rsidR="00A67413">
        <w:rPr>
          <w:lang w:eastAsia="en-AU" w:bidi="ar-SA"/>
        </w:rPr>
        <w:t xml:space="preserve"> </w:t>
      </w:r>
      <w:r w:rsidR="00E85C9D">
        <w:rPr>
          <w:lang w:val="en"/>
        </w:rPr>
        <w:t>r</w:t>
      </w:r>
      <w:r w:rsidR="00E85C9D" w:rsidRPr="004F1730">
        <w:rPr>
          <w:rFonts w:eastAsia="Calibri"/>
          <w:lang w:val="en"/>
        </w:rPr>
        <w:t xml:space="preserve">ice containing the GR2E event is not intended for </w:t>
      </w:r>
      <w:proofErr w:type="spellStart"/>
      <w:r w:rsidR="00E85C9D" w:rsidRPr="004F1730">
        <w:rPr>
          <w:rFonts w:eastAsia="Calibri"/>
          <w:lang w:val="en"/>
        </w:rPr>
        <w:t>commercialisation</w:t>
      </w:r>
      <w:proofErr w:type="spellEnd"/>
      <w:r w:rsidR="00E85C9D" w:rsidRPr="004F1730">
        <w:rPr>
          <w:rFonts w:eastAsia="Calibri"/>
          <w:lang w:val="en"/>
        </w:rPr>
        <w:t xml:space="preserve"> in Australia or New Zealand</w:t>
      </w:r>
      <w:r w:rsidR="00E85C9D">
        <w:rPr>
          <w:rFonts w:eastAsia="Calibri"/>
          <w:lang w:val="en"/>
        </w:rPr>
        <w:t xml:space="preserve"> (as noted under section 1.2)</w:t>
      </w:r>
      <w:r w:rsidR="002A2241">
        <w:rPr>
          <w:color w:val="000000" w:themeColor="text1"/>
        </w:rPr>
        <w:t>.</w:t>
      </w:r>
      <w:r w:rsidR="00F822E4">
        <w:rPr>
          <w:color w:val="000000" w:themeColor="text1"/>
        </w:rPr>
        <w:t xml:space="preserve"> </w:t>
      </w:r>
      <w:r w:rsidR="008E3D30" w:rsidRPr="008E3D30">
        <w:rPr>
          <w:lang w:eastAsia="en-AU" w:bidi="ar-SA"/>
        </w:rPr>
        <w:t xml:space="preserve">It </w:t>
      </w:r>
      <w:r w:rsidR="008E3D30">
        <w:rPr>
          <w:lang w:eastAsia="en-AU" w:bidi="ar-SA"/>
        </w:rPr>
        <w:t xml:space="preserve">is also </w:t>
      </w:r>
      <w:r w:rsidR="008E3D30" w:rsidRPr="008E3D30">
        <w:rPr>
          <w:lang w:eastAsia="en-AU" w:bidi="ar-SA"/>
        </w:rPr>
        <w:t xml:space="preserve">noted that GR2E paddy or brown rice could not be imported into Australia or New Zealand without an </w:t>
      </w:r>
      <w:r w:rsidR="00F66566">
        <w:rPr>
          <w:lang w:eastAsia="en-AU" w:bidi="ar-SA"/>
        </w:rPr>
        <w:t>environmental approval from the Office of the Gene Technology Regulator in Australia (</w:t>
      </w:r>
      <w:r w:rsidR="008E3D30" w:rsidRPr="008E3D30">
        <w:rPr>
          <w:lang w:eastAsia="en-AU" w:bidi="ar-SA"/>
        </w:rPr>
        <w:t>OGTR</w:t>
      </w:r>
      <w:r w:rsidR="00F66566">
        <w:rPr>
          <w:lang w:eastAsia="en-AU" w:bidi="ar-SA"/>
        </w:rPr>
        <w:t>) or the Environmental Protection Authority in New Zealand (</w:t>
      </w:r>
      <w:r w:rsidR="008E3D30" w:rsidRPr="00C159E3">
        <w:rPr>
          <w:lang w:eastAsia="en-AU" w:bidi="ar-SA"/>
        </w:rPr>
        <w:t>EPA</w:t>
      </w:r>
      <w:r w:rsidR="00F66566">
        <w:rPr>
          <w:lang w:eastAsia="en-AU" w:bidi="ar-SA"/>
        </w:rPr>
        <w:t>)</w:t>
      </w:r>
      <w:r w:rsidR="008E3D30" w:rsidRPr="00C159E3">
        <w:rPr>
          <w:lang w:eastAsia="en-AU" w:bidi="ar-SA"/>
        </w:rPr>
        <w:t xml:space="preserve"> </w:t>
      </w:r>
      <w:r w:rsidR="00C159E3" w:rsidRPr="00C159E3">
        <w:rPr>
          <w:color w:val="000000" w:themeColor="text1"/>
        </w:rPr>
        <w:t>(see section 2.2.</w:t>
      </w:r>
      <w:r w:rsidR="00F5657B">
        <w:rPr>
          <w:color w:val="000000" w:themeColor="text1"/>
        </w:rPr>
        <w:t>3</w:t>
      </w:r>
      <w:r w:rsidR="00C159E3" w:rsidRPr="00C159E3">
        <w:rPr>
          <w:color w:val="000000" w:themeColor="text1"/>
        </w:rPr>
        <w:t>).</w:t>
      </w:r>
      <w:r w:rsidR="00C159E3">
        <w:rPr>
          <w:color w:val="000000" w:themeColor="text1"/>
        </w:rPr>
        <w:t xml:space="preserve"> However, since these current arrangements may change in the future, a</w:t>
      </w:r>
      <w:r>
        <w:rPr>
          <w:color w:val="000000" w:themeColor="text1"/>
        </w:rPr>
        <w:t xml:space="preserve">pproval </w:t>
      </w:r>
      <w:r w:rsidR="00E40ECD">
        <w:rPr>
          <w:color w:val="000000" w:themeColor="text1"/>
        </w:rPr>
        <w:t xml:space="preserve">of </w:t>
      </w:r>
      <w:r w:rsidR="00C159E3">
        <w:rPr>
          <w:color w:val="000000" w:themeColor="text1"/>
        </w:rPr>
        <w:t xml:space="preserve">the </w:t>
      </w:r>
      <w:r w:rsidR="00E40ECD">
        <w:rPr>
          <w:color w:val="000000" w:themeColor="text1"/>
        </w:rPr>
        <w:t>GR2E</w:t>
      </w:r>
      <w:r w:rsidR="0058094B">
        <w:rPr>
          <w:color w:val="000000" w:themeColor="text1"/>
        </w:rPr>
        <w:t xml:space="preserve"> rice line</w:t>
      </w:r>
      <w:r w:rsidR="00E40ECD">
        <w:rPr>
          <w:color w:val="000000" w:themeColor="text1"/>
        </w:rPr>
        <w:t xml:space="preserve"> </w:t>
      </w:r>
      <w:r w:rsidR="00A67413">
        <w:rPr>
          <w:color w:val="000000" w:themeColor="text1"/>
        </w:rPr>
        <w:t>in the Code</w:t>
      </w:r>
      <w:r>
        <w:rPr>
          <w:color w:val="000000" w:themeColor="text1"/>
        </w:rPr>
        <w:t xml:space="preserve"> would allow </w:t>
      </w:r>
      <w:r w:rsidR="000936BC">
        <w:rPr>
          <w:color w:val="000000" w:themeColor="text1"/>
        </w:rPr>
        <w:t xml:space="preserve">any </w:t>
      </w:r>
      <w:r w:rsidR="00E85C9D">
        <w:rPr>
          <w:color w:val="000000" w:themeColor="text1"/>
        </w:rPr>
        <w:t>f</w:t>
      </w:r>
      <w:r w:rsidR="00EA3F16">
        <w:rPr>
          <w:color w:val="000000" w:themeColor="text1"/>
        </w:rPr>
        <w:t xml:space="preserve">ood </w:t>
      </w:r>
      <w:r w:rsidR="009618AB">
        <w:rPr>
          <w:color w:val="000000" w:themeColor="text1"/>
        </w:rPr>
        <w:t>d</w:t>
      </w:r>
      <w:r w:rsidR="00E85C9D">
        <w:rPr>
          <w:color w:val="000000" w:themeColor="text1"/>
        </w:rPr>
        <w:t xml:space="preserve">erived from </w:t>
      </w:r>
      <w:r w:rsidR="00E40ECD">
        <w:rPr>
          <w:color w:val="000000" w:themeColor="text1"/>
        </w:rPr>
        <w:t>it</w:t>
      </w:r>
      <w:r w:rsidR="00221DE5">
        <w:rPr>
          <w:color w:val="000000" w:themeColor="text1"/>
        </w:rPr>
        <w:t xml:space="preserve"> to be sold</w:t>
      </w:r>
      <w:r w:rsidR="00934FED">
        <w:rPr>
          <w:color w:val="000000" w:themeColor="text1"/>
        </w:rPr>
        <w:t xml:space="preserve"> in Australia and New Zealand</w:t>
      </w:r>
      <w:r w:rsidR="00F94549">
        <w:rPr>
          <w:color w:val="000000" w:themeColor="text1"/>
        </w:rPr>
        <w:t xml:space="preserve">. </w:t>
      </w:r>
      <w:r w:rsidR="002869B3">
        <w:rPr>
          <w:color w:val="000000" w:themeColor="text1"/>
        </w:rPr>
        <w:t xml:space="preserve">FSANZ’s </w:t>
      </w:r>
      <w:r w:rsidR="002A2241">
        <w:rPr>
          <w:color w:val="000000" w:themeColor="text1"/>
        </w:rPr>
        <w:t xml:space="preserve">dietary intake assessment (SD2) </w:t>
      </w:r>
      <w:r w:rsidR="0058094B">
        <w:rPr>
          <w:color w:val="000000" w:themeColor="text1"/>
        </w:rPr>
        <w:t xml:space="preserve">therefore </w:t>
      </w:r>
      <w:r w:rsidR="007C54DD">
        <w:rPr>
          <w:color w:val="000000" w:themeColor="text1"/>
        </w:rPr>
        <w:t>assumes</w:t>
      </w:r>
      <w:r w:rsidR="002A2241">
        <w:rPr>
          <w:color w:val="000000" w:themeColor="text1"/>
        </w:rPr>
        <w:t xml:space="preserve"> the repl</w:t>
      </w:r>
      <w:r>
        <w:rPr>
          <w:color w:val="000000" w:themeColor="text1"/>
        </w:rPr>
        <w:t xml:space="preserve">acement </w:t>
      </w:r>
      <w:r w:rsidRPr="009928BD">
        <w:rPr>
          <w:color w:val="000000" w:themeColor="text1"/>
        </w:rPr>
        <w:t>of all rice in the</w:t>
      </w:r>
      <w:r>
        <w:rPr>
          <w:color w:val="000000" w:themeColor="text1"/>
        </w:rPr>
        <w:t xml:space="preserve"> Australian and</w:t>
      </w:r>
      <w:r w:rsidR="00F822E4">
        <w:rPr>
          <w:color w:val="000000" w:themeColor="text1"/>
        </w:rPr>
        <w:t xml:space="preserve"> New Zealand markets with GR2E</w:t>
      </w:r>
      <w:r w:rsidR="005E4F2D">
        <w:rPr>
          <w:color w:val="000000" w:themeColor="text1"/>
        </w:rPr>
        <w:t xml:space="preserve"> </w:t>
      </w:r>
      <w:r w:rsidR="0001259D">
        <w:rPr>
          <w:color w:val="000000" w:themeColor="text1"/>
        </w:rPr>
        <w:t>rice</w:t>
      </w:r>
      <w:r w:rsidR="0080000E">
        <w:rPr>
          <w:color w:val="000000" w:themeColor="text1"/>
        </w:rPr>
        <w:t xml:space="preserve"> and its products</w:t>
      </w:r>
      <w:r w:rsidR="00363189">
        <w:rPr>
          <w:color w:val="000000" w:themeColor="text1"/>
        </w:rPr>
        <w:t xml:space="preserve">, </w:t>
      </w:r>
      <w:r w:rsidR="00381C7A">
        <w:rPr>
          <w:color w:val="000000" w:themeColor="text1"/>
        </w:rPr>
        <w:t>should these be</w:t>
      </w:r>
      <w:r w:rsidR="00363189">
        <w:rPr>
          <w:color w:val="000000" w:themeColor="text1"/>
        </w:rPr>
        <w:t xml:space="preserve"> </w:t>
      </w:r>
      <w:r w:rsidR="0043187F">
        <w:rPr>
          <w:color w:val="000000" w:themeColor="text1"/>
        </w:rPr>
        <w:t>commercialised</w:t>
      </w:r>
      <w:r w:rsidR="00363189">
        <w:rPr>
          <w:color w:val="000000" w:themeColor="text1"/>
        </w:rPr>
        <w:t xml:space="preserve"> in Australia and </w:t>
      </w:r>
      <w:r w:rsidR="0080000E">
        <w:rPr>
          <w:color w:val="000000" w:themeColor="text1"/>
        </w:rPr>
        <w:t xml:space="preserve">New </w:t>
      </w:r>
      <w:r w:rsidR="00363189">
        <w:rPr>
          <w:color w:val="000000" w:themeColor="text1"/>
        </w:rPr>
        <w:t>Ze</w:t>
      </w:r>
      <w:r w:rsidR="00381C7A">
        <w:rPr>
          <w:color w:val="000000" w:themeColor="text1"/>
        </w:rPr>
        <w:t>a</w:t>
      </w:r>
      <w:r w:rsidR="00363189">
        <w:rPr>
          <w:color w:val="000000" w:themeColor="text1"/>
        </w:rPr>
        <w:t>land in the future.</w:t>
      </w:r>
    </w:p>
    <w:p w14:paraId="19DCF76C" w14:textId="0AE99AC9" w:rsidR="0043187F" w:rsidRDefault="0043187F" w:rsidP="00E85C9D">
      <w:pPr>
        <w:widowControl/>
        <w:rPr>
          <w:color w:val="000000" w:themeColor="text1"/>
        </w:rPr>
      </w:pPr>
    </w:p>
    <w:p w14:paraId="13B816B9" w14:textId="0F6BF98B" w:rsidR="00846B53" w:rsidRDefault="00D34144" w:rsidP="003D2928">
      <w:pPr>
        <w:widowControl/>
        <w:rPr>
          <w:lang w:eastAsia="en-AU" w:bidi="ar-SA"/>
        </w:rPr>
      </w:pPr>
      <w:r>
        <w:rPr>
          <w:color w:val="000000" w:themeColor="text1"/>
        </w:rPr>
        <w:t>Based on the conclusions</w:t>
      </w:r>
      <w:r w:rsidR="00187B8F">
        <w:rPr>
          <w:color w:val="000000" w:themeColor="text1"/>
        </w:rPr>
        <w:t xml:space="preserve"> of the </w:t>
      </w:r>
      <w:r w:rsidR="002302FC">
        <w:rPr>
          <w:color w:val="000000" w:themeColor="text1"/>
        </w:rPr>
        <w:t>safety asse</w:t>
      </w:r>
      <w:r w:rsidR="00854F78">
        <w:rPr>
          <w:color w:val="000000" w:themeColor="text1"/>
        </w:rPr>
        <w:t xml:space="preserve">ssment </w:t>
      </w:r>
      <w:r w:rsidR="002302FC">
        <w:rPr>
          <w:color w:val="000000" w:themeColor="text1"/>
        </w:rPr>
        <w:t xml:space="preserve">on </w:t>
      </w:r>
      <w:r w:rsidR="00854F78">
        <w:rPr>
          <w:color w:val="000000" w:themeColor="text1"/>
        </w:rPr>
        <w:t>t</w:t>
      </w:r>
      <w:r w:rsidR="002302FC">
        <w:rPr>
          <w:color w:val="000000" w:themeColor="text1"/>
        </w:rPr>
        <w:t xml:space="preserve">he </w:t>
      </w:r>
      <w:r w:rsidR="00187B8F">
        <w:rPr>
          <w:color w:val="000000" w:themeColor="text1"/>
        </w:rPr>
        <w:t>GR2E genetic modification</w:t>
      </w:r>
      <w:r w:rsidR="006D757E">
        <w:rPr>
          <w:color w:val="000000" w:themeColor="text1"/>
        </w:rPr>
        <w:t xml:space="preserve"> (SD1)</w:t>
      </w:r>
      <w:r w:rsidR="007C54DD">
        <w:rPr>
          <w:color w:val="000000" w:themeColor="text1"/>
        </w:rPr>
        <w:t xml:space="preserve">, and the conclusions of </w:t>
      </w:r>
      <w:r w:rsidR="00AF4EC1">
        <w:rPr>
          <w:color w:val="000000" w:themeColor="text1"/>
        </w:rPr>
        <w:t xml:space="preserve">the </w:t>
      </w:r>
      <w:r w:rsidR="00854F78">
        <w:rPr>
          <w:color w:val="000000" w:themeColor="text1"/>
        </w:rPr>
        <w:t xml:space="preserve">nutrition </w:t>
      </w:r>
      <w:r w:rsidR="00F5657B" w:rsidRPr="00F5657B">
        <w:rPr>
          <w:color w:val="000000" w:themeColor="text1"/>
        </w:rPr>
        <w:t>risk</w:t>
      </w:r>
      <w:r w:rsidR="005E770E" w:rsidRPr="00F5657B">
        <w:rPr>
          <w:color w:val="000000" w:themeColor="text1"/>
        </w:rPr>
        <w:t xml:space="preserve"> </w:t>
      </w:r>
      <w:r w:rsidR="00D33E6D" w:rsidRPr="00F5657B">
        <w:rPr>
          <w:color w:val="000000" w:themeColor="text1"/>
        </w:rPr>
        <w:t xml:space="preserve">assessment </w:t>
      </w:r>
      <w:r w:rsidR="006D757E">
        <w:rPr>
          <w:color w:val="000000" w:themeColor="text1"/>
        </w:rPr>
        <w:t>(SD2)</w:t>
      </w:r>
      <w:r w:rsidR="00854F78">
        <w:rPr>
          <w:color w:val="000000" w:themeColor="text1"/>
        </w:rPr>
        <w:t xml:space="preserve">, </w:t>
      </w:r>
      <w:r w:rsidR="009B67D3">
        <w:rPr>
          <w:color w:val="000000" w:themeColor="text1"/>
        </w:rPr>
        <w:t xml:space="preserve">FSANZ considers that permitting </w:t>
      </w:r>
      <w:r w:rsidR="009F71DB">
        <w:rPr>
          <w:color w:val="000000" w:themeColor="text1"/>
        </w:rPr>
        <w:t xml:space="preserve">food derived from </w:t>
      </w:r>
      <w:r w:rsidR="009F71DB">
        <w:rPr>
          <w:lang w:eastAsia="en-AU" w:bidi="ar-SA"/>
        </w:rPr>
        <w:t xml:space="preserve">GR2E </w:t>
      </w:r>
      <w:r w:rsidR="009B67D3">
        <w:rPr>
          <w:lang w:eastAsia="en-AU" w:bidi="ar-SA"/>
        </w:rPr>
        <w:t>to be sold in Australia and New Zealand poses no risk to public health and safety.</w:t>
      </w:r>
    </w:p>
    <w:p w14:paraId="40825C3D" w14:textId="2A202F00" w:rsidR="00D3171B" w:rsidRPr="00850459" w:rsidRDefault="00850459" w:rsidP="00BE3661">
      <w:pPr>
        <w:pStyle w:val="Heading3"/>
        <w:widowControl/>
      </w:pPr>
      <w:bookmarkStart w:id="47" w:name="_Toc488316685"/>
      <w:r w:rsidRPr="00850459">
        <w:lastRenderedPageBreak/>
        <w:t>2.2.</w:t>
      </w:r>
      <w:r w:rsidR="00612E38">
        <w:t>1</w:t>
      </w:r>
      <w:r w:rsidRPr="00850459">
        <w:tab/>
        <w:t>Labelling</w:t>
      </w:r>
      <w:bookmarkEnd w:id="47"/>
      <w:r w:rsidR="00AB20E4">
        <w:t xml:space="preserve"> </w:t>
      </w:r>
    </w:p>
    <w:p w14:paraId="2EE9C85E" w14:textId="3A07E919" w:rsidR="000A7CEA" w:rsidRDefault="000A7CEA" w:rsidP="000A7CEA">
      <w:pPr>
        <w:pStyle w:val="Heading4"/>
      </w:pPr>
      <w:r>
        <w:t>2.2.1.1</w:t>
      </w:r>
      <w:r>
        <w:tab/>
        <w:t>Requirement to be labelled as ‘genetically modified’</w:t>
      </w:r>
    </w:p>
    <w:p w14:paraId="64195CE3" w14:textId="5F4BEA5D" w:rsidR="00850459" w:rsidRPr="004749C9" w:rsidRDefault="00850459" w:rsidP="00BE3661">
      <w:pPr>
        <w:widowControl/>
      </w:pPr>
      <w:r w:rsidRPr="004749C9">
        <w:rPr>
          <w:color w:val="000000" w:themeColor="text1"/>
        </w:rPr>
        <w:t>In accordance with the labelling provisions in Standard 1.5.2, food derived from GR2E would be required to be labelled as ‘genetically modified’ if it</w:t>
      </w:r>
      <w:r w:rsidR="00131B75">
        <w:rPr>
          <w:color w:val="000000" w:themeColor="text1"/>
        </w:rPr>
        <w:t>:</w:t>
      </w:r>
      <w:r w:rsidRPr="004749C9">
        <w:rPr>
          <w:color w:val="000000" w:themeColor="text1"/>
        </w:rPr>
        <w:t xml:space="preserve"> contains novel DNA or novel protein</w:t>
      </w:r>
      <w:r w:rsidR="00131B75">
        <w:rPr>
          <w:color w:val="000000" w:themeColor="text1"/>
        </w:rPr>
        <w:t>;</w:t>
      </w:r>
      <w:r w:rsidR="004749C9">
        <w:rPr>
          <w:color w:val="000000" w:themeColor="text1"/>
        </w:rPr>
        <w:t xml:space="preserve"> or </w:t>
      </w:r>
      <w:r w:rsidR="006B5691">
        <w:rPr>
          <w:color w:val="000000" w:themeColor="text1"/>
        </w:rPr>
        <w:t xml:space="preserve">is </w:t>
      </w:r>
      <w:r w:rsidR="002E7B14">
        <w:rPr>
          <w:color w:val="000000" w:themeColor="text1"/>
        </w:rPr>
        <w:t xml:space="preserve">listed </w:t>
      </w:r>
      <w:r w:rsidR="002E7B14" w:rsidRPr="00C612C0">
        <w:rPr>
          <w:color w:val="000000" w:themeColor="text1"/>
        </w:rPr>
        <w:t>in subsection</w:t>
      </w:r>
      <w:r w:rsidR="00C612C0" w:rsidRPr="00C612C0">
        <w:rPr>
          <w:color w:val="000000" w:themeColor="text1"/>
        </w:rPr>
        <w:t>s</w:t>
      </w:r>
      <w:r w:rsidR="006B5691" w:rsidRPr="002E7B14">
        <w:rPr>
          <w:color w:val="000000" w:themeColor="text1"/>
        </w:rPr>
        <w:t xml:space="preserve"> </w:t>
      </w:r>
      <w:r w:rsidR="002E7B14" w:rsidRPr="002E7B14">
        <w:rPr>
          <w:color w:val="000000" w:themeColor="text1"/>
        </w:rPr>
        <w:t>S26—3</w:t>
      </w:r>
      <w:r w:rsidR="00C612C0">
        <w:rPr>
          <w:color w:val="000000" w:themeColor="text1"/>
        </w:rPr>
        <w:t>(2), (2A) and (3)</w:t>
      </w:r>
      <w:r w:rsidR="006B5691" w:rsidRPr="002E7B14">
        <w:rPr>
          <w:color w:val="000000" w:themeColor="text1"/>
        </w:rPr>
        <w:t xml:space="preserve"> </w:t>
      </w:r>
      <w:r w:rsidR="000D28E2">
        <w:rPr>
          <w:color w:val="000000" w:themeColor="text1"/>
        </w:rPr>
        <w:t>of Schedule 26 as being subject to the condition that the labelling must comply with section 1.5.2</w:t>
      </w:r>
      <w:r w:rsidR="000D28E2" w:rsidRPr="002E7B14">
        <w:rPr>
          <w:color w:val="000000" w:themeColor="text1"/>
        </w:rPr>
        <w:t xml:space="preserve">— </w:t>
      </w:r>
      <w:r w:rsidR="000D28E2">
        <w:rPr>
          <w:color w:val="000000" w:themeColor="text1"/>
        </w:rPr>
        <w:t xml:space="preserve">4 of Standard 1.5.2 </w:t>
      </w:r>
      <w:r w:rsidR="006B5691" w:rsidRPr="002E7B14">
        <w:rPr>
          <w:color w:val="000000" w:themeColor="text1"/>
        </w:rPr>
        <w:t>(such</w:t>
      </w:r>
      <w:r w:rsidR="006B5691">
        <w:rPr>
          <w:color w:val="000000" w:themeColor="text1"/>
        </w:rPr>
        <w:t xml:space="preserve"> food </w:t>
      </w:r>
      <w:r w:rsidR="006B5691" w:rsidRPr="005C18EC">
        <w:rPr>
          <w:color w:val="000000" w:themeColor="text1"/>
        </w:rPr>
        <w:t>has altered characteristics</w:t>
      </w:r>
      <w:r w:rsidR="006B5691">
        <w:rPr>
          <w:color w:val="000000" w:themeColor="text1"/>
        </w:rPr>
        <w:t>)</w:t>
      </w:r>
      <w:r w:rsidR="006B5691" w:rsidRPr="005C18EC">
        <w:rPr>
          <w:color w:val="000000" w:themeColor="text1"/>
        </w:rPr>
        <w:t>.</w:t>
      </w:r>
    </w:p>
    <w:p w14:paraId="4D9C8A1C" w14:textId="0CD802DC" w:rsidR="001D325E" w:rsidRDefault="001D325E">
      <w:pPr>
        <w:widowControl/>
        <w:rPr>
          <w:rFonts w:cs="Arial"/>
          <w:color w:val="000000" w:themeColor="text1"/>
          <w:szCs w:val="22"/>
          <w:lang w:val="en"/>
        </w:rPr>
      </w:pPr>
    </w:p>
    <w:p w14:paraId="1D446435" w14:textId="60057D15" w:rsidR="00131B75" w:rsidRDefault="009928BD" w:rsidP="006E5E7D">
      <w:pPr>
        <w:widowControl/>
        <w:rPr>
          <w:rFonts w:cs="Arial"/>
          <w:color w:val="000000" w:themeColor="text1"/>
          <w:szCs w:val="22"/>
          <w:lang w:val="en"/>
        </w:rPr>
      </w:pPr>
      <w:r>
        <w:rPr>
          <w:rFonts w:cs="Arial"/>
          <w:color w:val="000000" w:themeColor="text1"/>
          <w:szCs w:val="22"/>
          <w:lang w:val="en"/>
        </w:rPr>
        <w:t>FSANZ has determined that</w:t>
      </w:r>
      <w:r w:rsidR="00DB3753">
        <w:rPr>
          <w:rFonts w:cs="Arial"/>
          <w:color w:val="000000" w:themeColor="text1"/>
          <w:szCs w:val="22"/>
          <w:lang w:val="en"/>
        </w:rPr>
        <w:t xml:space="preserve"> </w:t>
      </w:r>
      <w:r w:rsidR="009D090F">
        <w:rPr>
          <w:rFonts w:cs="Arial"/>
          <w:color w:val="000000" w:themeColor="text1"/>
          <w:szCs w:val="22"/>
          <w:lang w:val="en"/>
        </w:rPr>
        <w:t xml:space="preserve">whole </w:t>
      </w:r>
      <w:r w:rsidR="004749C9">
        <w:rPr>
          <w:rFonts w:cs="Arial"/>
          <w:color w:val="000000" w:themeColor="text1"/>
          <w:szCs w:val="22"/>
          <w:lang w:val="en"/>
        </w:rPr>
        <w:t xml:space="preserve">rice </w:t>
      </w:r>
      <w:r w:rsidR="009D090F">
        <w:rPr>
          <w:rFonts w:cs="Arial"/>
          <w:color w:val="000000" w:themeColor="text1"/>
          <w:szCs w:val="22"/>
          <w:lang w:val="en"/>
        </w:rPr>
        <w:t xml:space="preserve">and unrefined rice products derived </w:t>
      </w:r>
      <w:r w:rsidR="004749C9">
        <w:rPr>
          <w:rFonts w:cs="Arial"/>
          <w:color w:val="000000" w:themeColor="text1"/>
          <w:szCs w:val="22"/>
          <w:lang w:val="en"/>
        </w:rPr>
        <w:t xml:space="preserve">from line GR2E </w:t>
      </w:r>
      <w:r w:rsidR="00DB3753">
        <w:rPr>
          <w:rFonts w:cs="Arial"/>
          <w:color w:val="000000" w:themeColor="text1"/>
          <w:szCs w:val="22"/>
          <w:lang w:val="en"/>
        </w:rPr>
        <w:t xml:space="preserve">will </w:t>
      </w:r>
      <w:r w:rsidR="004749C9">
        <w:rPr>
          <w:rFonts w:cs="Arial"/>
          <w:color w:val="000000" w:themeColor="text1"/>
          <w:szCs w:val="22"/>
          <w:lang w:val="en"/>
        </w:rPr>
        <w:t>contain novel DNA and novel protein</w:t>
      </w:r>
      <w:r w:rsidR="005932C8">
        <w:rPr>
          <w:rFonts w:cs="Arial"/>
          <w:color w:val="000000" w:themeColor="text1"/>
          <w:szCs w:val="22"/>
          <w:lang w:val="en"/>
        </w:rPr>
        <w:t>, as well as</w:t>
      </w:r>
      <w:r w:rsidR="0075554A">
        <w:rPr>
          <w:rFonts w:cs="Arial"/>
          <w:color w:val="000000" w:themeColor="text1"/>
          <w:szCs w:val="22"/>
          <w:lang w:val="en"/>
        </w:rPr>
        <w:t xml:space="preserve"> a</w:t>
      </w:r>
      <w:r w:rsidR="00C56FFC">
        <w:rPr>
          <w:rFonts w:cs="Arial"/>
          <w:color w:val="000000" w:themeColor="text1"/>
          <w:szCs w:val="22"/>
          <w:lang w:val="en"/>
        </w:rPr>
        <w:t>n altered</w:t>
      </w:r>
      <w:r w:rsidR="0075554A">
        <w:rPr>
          <w:rFonts w:cs="Arial"/>
          <w:color w:val="000000" w:themeColor="text1"/>
          <w:szCs w:val="22"/>
          <w:lang w:val="en"/>
        </w:rPr>
        <w:t xml:space="preserve"> nutritional profile</w:t>
      </w:r>
      <w:r w:rsidR="00C56FFC">
        <w:rPr>
          <w:rFonts w:cs="Arial"/>
          <w:color w:val="000000" w:themeColor="text1"/>
          <w:szCs w:val="22"/>
          <w:lang w:val="en"/>
        </w:rPr>
        <w:t xml:space="preserve"> (</w:t>
      </w:r>
      <w:r w:rsidR="0075554A">
        <w:rPr>
          <w:rFonts w:cs="Arial"/>
          <w:color w:val="000000" w:themeColor="text1"/>
          <w:szCs w:val="22"/>
          <w:lang w:val="en"/>
        </w:rPr>
        <w:t>contain</w:t>
      </w:r>
      <w:r w:rsidR="00C56FFC">
        <w:rPr>
          <w:rFonts w:cs="Arial"/>
          <w:color w:val="000000" w:themeColor="text1"/>
          <w:szCs w:val="22"/>
          <w:lang w:val="en"/>
        </w:rPr>
        <w:t>s</w:t>
      </w:r>
      <w:r w:rsidR="0075554A">
        <w:rPr>
          <w:rFonts w:cs="Arial"/>
          <w:color w:val="000000" w:themeColor="text1"/>
          <w:szCs w:val="22"/>
          <w:lang w:val="en"/>
        </w:rPr>
        <w:t xml:space="preserve"> </w:t>
      </w:r>
      <w:r w:rsidR="00964B9F">
        <w:rPr>
          <w:rFonts w:cs="Arial"/>
          <w:color w:val="000000" w:themeColor="text1"/>
          <w:szCs w:val="22"/>
          <w:lang w:val="en"/>
        </w:rPr>
        <w:t>β</w:t>
      </w:r>
      <w:r w:rsidR="005932C8">
        <w:rPr>
          <w:rFonts w:cs="Arial"/>
          <w:color w:val="000000" w:themeColor="text1"/>
          <w:szCs w:val="22"/>
          <w:lang w:val="en"/>
        </w:rPr>
        <w:t>-carotene</w:t>
      </w:r>
      <w:r w:rsidR="00C56FFC">
        <w:rPr>
          <w:rFonts w:cs="Arial"/>
          <w:color w:val="000000" w:themeColor="text1"/>
          <w:szCs w:val="22"/>
          <w:lang w:val="en"/>
        </w:rPr>
        <w:t>)</w:t>
      </w:r>
      <w:r w:rsidR="005932C8">
        <w:rPr>
          <w:rFonts w:cs="Arial"/>
          <w:color w:val="000000" w:themeColor="text1"/>
          <w:szCs w:val="22"/>
          <w:lang w:val="en"/>
        </w:rPr>
        <w:t xml:space="preserve">, and </w:t>
      </w:r>
      <w:r w:rsidR="0043187F">
        <w:rPr>
          <w:rFonts w:cs="Arial"/>
          <w:color w:val="000000" w:themeColor="text1"/>
          <w:szCs w:val="22"/>
          <w:lang w:val="en"/>
        </w:rPr>
        <w:t xml:space="preserve">as such </w:t>
      </w:r>
      <w:r w:rsidR="004749C9">
        <w:rPr>
          <w:rFonts w:cs="Arial"/>
          <w:color w:val="000000" w:themeColor="text1"/>
          <w:szCs w:val="22"/>
          <w:lang w:val="en"/>
        </w:rPr>
        <w:t>would be required to carry the mandatory statement</w:t>
      </w:r>
      <w:r w:rsidR="00B94DE3">
        <w:rPr>
          <w:rFonts w:cs="Arial"/>
          <w:color w:val="000000" w:themeColor="text1"/>
          <w:szCs w:val="22"/>
          <w:lang w:val="en"/>
        </w:rPr>
        <w:t xml:space="preserve"> ‘genetically modified’ on the label of the package of food</w:t>
      </w:r>
      <w:r w:rsidR="004749C9">
        <w:rPr>
          <w:rFonts w:cs="Arial"/>
          <w:color w:val="000000" w:themeColor="text1"/>
          <w:szCs w:val="22"/>
          <w:lang w:val="en"/>
        </w:rPr>
        <w:t xml:space="preserve">. </w:t>
      </w:r>
      <w:r w:rsidR="00B94DE3">
        <w:rPr>
          <w:rFonts w:cs="Arial"/>
          <w:color w:val="000000" w:themeColor="text1"/>
          <w:szCs w:val="22"/>
          <w:lang w:val="en"/>
        </w:rPr>
        <w:t xml:space="preserve">This labelling requirement would </w:t>
      </w:r>
      <w:r w:rsidR="0075554A">
        <w:rPr>
          <w:rFonts w:cs="Arial"/>
          <w:color w:val="000000" w:themeColor="text1"/>
          <w:szCs w:val="22"/>
          <w:lang w:val="en"/>
        </w:rPr>
        <w:t>apply to rice sold as a single ingredient food</w:t>
      </w:r>
      <w:r w:rsidR="00C84A91">
        <w:rPr>
          <w:rFonts w:cs="Arial"/>
          <w:color w:val="000000" w:themeColor="text1"/>
          <w:szCs w:val="22"/>
          <w:lang w:val="en"/>
        </w:rPr>
        <w:t xml:space="preserve"> (e.g. a package of rice)</w:t>
      </w:r>
      <w:r w:rsidR="0075554A">
        <w:rPr>
          <w:rFonts w:cs="Arial"/>
          <w:color w:val="000000" w:themeColor="text1"/>
          <w:szCs w:val="22"/>
          <w:lang w:val="en"/>
        </w:rPr>
        <w:t xml:space="preserve"> and when the rice is used as a</w:t>
      </w:r>
      <w:r w:rsidR="00B94DE3">
        <w:rPr>
          <w:rFonts w:cs="Arial"/>
          <w:color w:val="000000" w:themeColor="text1"/>
          <w:szCs w:val="22"/>
          <w:lang w:val="en"/>
        </w:rPr>
        <w:t>n ingredient in another food</w:t>
      </w:r>
      <w:r>
        <w:rPr>
          <w:rFonts w:cs="Arial"/>
          <w:color w:val="000000" w:themeColor="text1"/>
          <w:szCs w:val="22"/>
          <w:lang w:val="en"/>
        </w:rPr>
        <w:t xml:space="preserve"> (e.g.</w:t>
      </w:r>
      <w:r w:rsidR="00C84A91">
        <w:rPr>
          <w:rFonts w:cs="Arial"/>
          <w:color w:val="000000" w:themeColor="text1"/>
          <w:szCs w:val="22"/>
          <w:lang w:val="en"/>
        </w:rPr>
        <w:t xml:space="preserve"> rice flour, rice milk)</w:t>
      </w:r>
      <w:r w:rsidR="00B94DE3">
        <w:rPr>
          <w:rFonts w:cs="Arial"/>
          <w:color w:val="000000" w:themeColor="text1"/>
          <w:szCs w:val="22"/>
          <w:lang w:val="en"/>
        </w:rPr>
        <w:t xml:space="preserve">. </w:t>
      </w:r>
    </w:p>
    <w:p w14:paraId="337A739B" w14:textId="77777777" w:rsidR="00131B75" w:rsidRDefault="00131B75" w:rsidP="006E5E7D">
      <w:pPr>
        <w:widowControl/>
        <w:rPr>
          <w:rFonts w:cs="Arial"/>
          <w:color w:val="000000" w:themeColor="text1"/>
          <w:szCs w:val="22"/>
          <w:lang w:val="en"/>
        </w:rPr>
      </w:pPr>
    </w:p>
    <w:p w14:paraId="2000E694" w14:textId="6BB9AA71" w:rsidR="001D21A5" w:rsidRDefault="001D21A5" w:rsidP="006E5E7D">
      <w:pPr>
        <w:widowControl/>
        <w:rPr>
          <w:color w:val="000000" w:themeColor="text1"/>
        </w:rPr>
      </w:pPr>
      <w:r w:rsidRPr="00105101">
        <w:rPr>
          <w:color w:val="000000" w:themeColor="text1"/>
        </w:rPr>
        <w:t xml:space="preserve">FSANZ is </w:t>
      </w:r>
      <w:r w:rsidR="00131B75">
        <w:rPr>
          <w:color w:val="000000" w:themeColor="text1"/>
        </w:rPr>
        <w:t xml:space="preserve">also </w:t>
      </w:r>
      <w:r w:rsidR="001D325E">
        <w:rPr>
          <w:color w:val="000000" w:themeColor="text1"/>
        </w:rPr>
        <w:t>proposing to list</w:t>
      </w:r>
      <w:r w:rsidR="00131B75">
        <w:rPr>
          <w:color w:val="000000" w:themeColor="text1"/>
        </w:rPr>
        <w:t xml:space="preserve"> </w:t>
      </w:r>
      <w:r w:rsidRPr="00105101">
        <w:rPr>
          <w:color w:val="000000" w:themeColor="text1"/>
        </w:rPr>
        <w:t>food</w:t>
      </w:r>
      <w:r w:rsidR="00131B75">
        <w:rPr>
          <w:color w:val="000000" w:themeColor="text1"/>
        </w:rPr>
        <w:t>s</w:t>
      </w:r>
      <w:r w:rsidRPr="00105101">
        <w:rPr>
          <w:color w:val="000000" w:themeColor="text1"/>
        </w:rPr>
        <w:t xml:space="preserve"> derived from GR2E</w:t>
      </w:r>
      <w:r w:rsidR="001D325E">
        <w:rPr>
          <w:color w:val="000000" w:themeColor="text1"/>
        </w:rPr>
        <w:t>,</w:t>
      </w:r>
      <w:r w:rsidRPr="00105101">
        <w:rPr>
          <w:color w:val="000000" w:themeColor="text1"/>
        </w:rPr>
        <w:t xml:space="preserve"> </w:t>
      </w:r>
      <w:r w:rsidR="002C6342">
        <w:rPr>
          <w:color w:val="000000" w:themeColor="text1"/>
        </w:rPr>
        <w:t xml:space="preserve">that contain </w:t>
      </w:r>
      <w:r w:rsidR="002C6342" w:rsidRPr="002C6342">
        <w:rPr>
          <w:color w:val="000000" w:themeColor="text1"/>
        </w:rPr>
        <w:t>β-carotene</w:t>
      </w:r>
      <w:r w:rsidR="0005166D">
        <w:rPr>
          <w:color w:val="000000" w:themeColor="text1"/>
        </w:rPr>
        <w:t xml:space="preserve"> as a result of the genetic modification</w:t>
      </w:r>
      <w:r w:rsidR="001D325E">
        <w:rPr>
          <w:color w:val="000000" w:themeColor="text1"/>
        </w:rPr>
        <w:t>,</w:t>
      </w:r>
      <w:r w:rsidR="002C6342" w:rsidRPr="002C6342">
        <w:rPr>
          <w:color w:val="000000" w:themeColor="text1"/>
        </w:rPr>
        <w:t xml:space="preserve"> </w:t>
      </w:r>
      <w:r w:rsidRPr="00C612C0">
        <w:rPr>
          <w:color w:val="000000" w:themeColor="text1"/>
        </w:rPr>
        <w:t>in subsection</w:t>
      </w:r>
      <w:r w:rsidRPr="002E7B14">
        <w:rPr>
          <w:color w:val="000000" w:themeColor="text1"/>
        </w:rPr>
        <w:t xml:space="preserve"> S26—3</w:t>
      </w:r>
      <w:r w:rsidR="00C612C0">
        <w:rPr>
          <w:color w:val="000000" w:themeColor="text1"/>
        </w:rPr>
        <w:t>(2A)</w:t>
      </w:r>
      <w:r w:rsidRPr="002E7B14">
        <w:rPr>
          <w:color w:val="000000" w:themeColor="text1"/>
        </w:rPr>
        <w:t xml:space="preserve"> of</w:t>
      </w:r>
      <w:r w:rsidRPr="00105101">
        <w:rPr>
          <w:color w:val="000000" w:themeColor="text1"/>
        </w:rPr>
        <w:t xml:space="preserve"> Schedule 26. The purpose of this listing is to ensure foods with an altered characteristic are labelled with the mandatory ‘genetically modified’ statement irrespective of the presence of novel DNA or novel protein. </w:t>
      </w:r>
      <w:r>
        <w:rPr>
          <w:color w:val="000000" w:themeColor="text1"/>
        </w:rPr>
        <w:t>For example i</w:t>
      </w:r>
      <w:r w:rsidRPr="00105101">
        <w:rPr>
          <w:color w:val="000000" w:themeColor="text1"/>
        </w:rPr>
        <w:t xml:space="preserve">n the case of GR2E, </w:t>
      </w:r>
      <w:r>
        <w:rPr>
          <w:color w:val="000000" w:themeColor="text1"/>
        </w:rPr>
        <w:t xml:space="preserve">there may be products </w:t>
      </w:r>
      <w:r>
        <w:rPr>
          <w:rFonts w:cs="Arial"/>
          <w:color w:val="000000" w:themeColor="text1"/>
          <w:szCs w:val="22"/>
          <w:lang w:val="en"/>
        </w:rPr>
        <w:t xml:space="preserve">such as </w:t>
      </w:r>
      <w:r w:rsidRPr="00105101">
        <w:rPr>
          <w:color w:val="000000" w:themeColor="text1"/>
        </w:rPr>
        <w:t>rice malt syrup</w:t>
      </w:r>
      <w:r>
        <w:rPr>
          <w:color w:val="000000" w:themeColor="text1"/>
        </w:rPr>
        <w:t xml:space="preserve"> where novel DNA and novel protein is absent but the product may have an altered nutritional profile (</w:t>
      </w:r>
      <w:r>
        <w:rPr>
          <w:rFonts w:cs="Arial"/>
          <w:color w:val="000000" w:themeColor="text1"/>
          <w:szCs w:val="22"/>
          <w:lang w:val="en"/>
        </w:rPr>
        <w:t xml:space="preserve">contains β-carotene) </w:t>
      </w:r>
      <w:r>
        <w:rPr>
          <w:color w:val="000000" w:themeColor="text1"/>
        </w:rPr>
        <w:t>that would trigger the requirement for the mandatory statement.</w:t>
      </w:r>
    </w:p>
    <w:p w14:paraId="08799166" w14:textId="77777777" w:rsidR="001D21A5" w:rsidRDefault="001D21A5" w:rsidP="006E5E7D">
      <w:pPr>
        <w:widowControl/>
        <w:rPr>
          <w:color w:val="000000" w:themeColor="text1"/>
        </w:rPr>
      </w:pPr>
    </w:p>
    <w:p w14:paraId="321F567F" w14:textId="26AC57FE" w:rsidR="006E5E7D" w:rsidRDefault="00C30187" w:rsidP="006E5E7D">
      <w:pPr>
        <w:widowControl/>
        <w:rPr>
          <w:rFonts w:cs="Arial"/>
          <w:color w:val="000000" w:themeColor="text1"/>
          <w:szCs w:val="22"/>
          <w:lang w:val="en"/>
        </w:rPr>
      </w:pPr>
      <w:r>
        <w:rPr>
          <w:rFonts w:cs="Arial"/>
          <w:color w:val="000000" w:themeColor="text1"/>
          <w:szCs w:val="22"/>
          <w:lang w:val="en"/>
        </w:rPr>
        <w:t xml:space="preserve">Another product from rice is rice bran oil. </w:t>
      </w:r>
      <w:r w:rsidR="006E5E7D">
        <w:rPr>
          <w:rFonts w:cs="Arial"/>
          <w:color w:val="000000" w:themeColor="text1"/>
          <w:szCs w:val="22"/>
          <w:lang w:val="en"/>
        </w:rPr>
        <w:t xml:space="preserve">In accordance with the existing labelling provisions in Standard 1.5.2, rice bran oil </w:t>
      </w:r>
      <w:r w:rsidR="004D60BB">
        <w:rPr>
          <w:rFonts w:cs="Arial"/>
          <w:color w:val="000000" w:themeColor="text1"/>
          <w:szCs w:val="22"/>
          <w:lang w:val="en"/>
        </w:rPr>
        <w:t xml:space="preserve">derived from GR2E </w:t>
      </w:r>
      <w:r w:rsidR="006E5E7D">
        <w:rPr>
          <w:rFonts w:cs="Arial"/>
          <w:color w:val="000000" w:themeColor="text1"/>
          <w:szCs w:val="22"/>
          <w:lang w:val="en"/>
        </w:rPr>
        <w:t xml:space="preserve">is unlikely to require labelling because </w:t>
      </w:r>
      <w:r w:rsidR="00FD7589">
        <w:rPr>
          <w:rFonts w:cs="Arial"/>
          <w:color w:val="000000" w:themeColor="text1"/>
          <w:szCs w:val="22"/>
          <w:lang w:val="en"/>
        </w:rPr>
        <w:t xml:space="preserve">it is unlikely to </w:t>
      </w:r>
      <w:r w:rsidR="006E5E7D">
        <w:rPr>
          <w:rFonts w:cs="Arial"/>
          <w:color w:val="000000" w:themeColor="text1"/>
          <w:szCs w:val="22"/>
          <w:lang w:val="en"/>
        </w:rPr>
        <w:t>contain novel DNA or novel protein, or have an altered nutritional profile (</w:t>
      </w:r>
      <w:r w:rsidR="00964B9F">
        <w:rPr>
          <w:rFonts w:cs="Arial"/>
          <w:color w:val="000000" w:themeColor="text1"/>
          <w:szCs w:val="22"/>
          <w:lang w:val="en"/>
        </w:rPr>
        <w:t>β</w:t>
      </w:r>
      <w:r w:rsidR="006E5E7D">
        <w:rPr>
          <w:rFonts w:cs="Arial"/>
          <w:color w:val="000000" w:themeColor="text1"/>
          <w:szCs w:val="22"/>
          <w:lang w:val="en"/>
        </w:rPr>
        <w:t>-carotene is absent). T</w:t>
      </w:r>
      <w:r w:rsidR="006E5E7D" w:rsidRPr="00DB3753">
        <w:rPr>
          <w:rFonts w:cs="Arial"/>
          <w:color w:val="000000" w:themeColor="text1"/>
          <w:szCs w:val="22"/>
          <w:lang w:val="en"/>
        </w:rPr>
        <w:t>he composition and characteristics of th</w:t>
      </w:r>
      <w:r w:rsidR="006E5E7D">
        <w:rPr>
          <w:rFonts w:cs="Arial"/>
          <w:color w:val="000000" w:themeColor="text1"/>
          <w:szCs w:val="22"/>
          <w:lang w:val="en"/>
        </w:rPr>
        <w:t xml:space="preserve">is highly refined product would </w:t>
      </w:r>
      <w:r w:rsidR="00E53B81">
        <w:rPr>
          <w:rFonts w:cs="Arial"/>
          <w:color w:val="000000" w:themeColor="text1"/>
          <w:szCs w:val="22"/>
          <w:lang w:val="en"/>
        </w:rPr>
        <w:t xml:space="preserve">therefore </w:t>
      </w:r>
      <w:r w:rsidR="006E5E7D">
        <w:rPr>
          <w:rFonts w:cs="Arial"/>
          <w:color w:val="000000" w:themeColor="text1"/>
          <w:szCs w:val="22"/>
          <w:lang w:val="en"/>
        </w:rPr>
        <w:t xml:space="preserve">be the </w:t>
      </w:r>
      <w:r w:rsidR="006E5E7D" w:rsidRPr="00DB3753">
        <w:rPr>
          <w:rFonts w:cs="Arial"/>
          <w:color w:val="000000" w:themeColor="text1"/>
          <w:szCs w:val="22"/>
          <w:lang w:val="en"/>
        </w:rPr>
        <w:t xml:space="preserve">same as </w:t>
      </w:r>
      <w:r w:rsidR="006E5E7D">
        <w:rPr>
          <w:rFonts w:cs="Arial"/>
          <w:color w:val="000000" w:themeColor="text1"/>
          <w:szCs w:val="22"/>
          <w:lang w:val="en"/>
        </w:rPr>
        <w:t xml:space="preserve">rice bran oil made from </w:t>
      </w:r>
      <w:r w:rsidR="006E5E7D" w:rsidRPr="00DB3753">
        <w:rPr>
          <w:rFonts w:cs="Arial"/>
          <w:color w:val="000000" w:themeColor="text1"/>
          <w:szCs w:val="22"/>
          <w:lang w:val="en"/>
        </w:rPr>
        <w:t>conven</w:t>
      </w:r>
      <w:r w:rsidR="006E5E7D">
        <w:rPr>
          <w:rFonts w:cs="Arial"/>
          <w:color w:val="000000" w:themeColor="text1"/>
          <w:szCs w:val="22"/>
          <w:lang w:val="en"/>
        </w:rPr>
        <w:t>tionally produced (non-GM) rice.</w:t>
      </w:r>
    </w:p>
    <w:p w14:paraId="35BB34AC" w14:textId="77777777" w:rsidR="006E5E7D" w:rsidRDefault="006E5E7D" w:rsidP="006E5E7D">
      <w:pPr>
        <w:widowControl/>
        <w:rPr>
          <w:rFonts w:cs="Arial"/>
          <w:color w:val="000000" w:themeColor="text1"/>
          <w:szCs w:val="22"/>
          <w:lang w:val="en"/>
        </w:rPr>
      </w:pPr>
    </w:p>
    <w:p w14:paraId="7CFA6BFC" w14:textId="0D123D7E" w:rsidR="00F977C3" w:rsidRPr="00346B3B" w:rsidRDefault="009D0D8C" w:rsidP="00346B3B">
      <w:pPr>
        <w:rPr>
          <w:color w:val="000000" w:themeColor="text1"/>
        </w:rPr>
      </w:pPr>
      <w:r>
        <w:rPr>
          <w:color w:val="000000" w:themeColor="text1"/>
        </w:rPr>
        <w:t>In summary,</w:t>
      </w:r>
      <w:r w:rsidR="008B6747" w:rsidDel="009D0D8C">
        <w:rPr>
          <w:color w:val="000000" w:themeColor="text1"/>
        </w:rPr>
        <w:t xml:space="preserve"> </w:t>
      </w:r>
      <w:r w:rsidR="00346B3B" w:rsidRPr="00346B3B">
        <w:rPr>
          <w:color w:val="000000" w:themeColor="text1"/>
        </w:rPr>
        <w:t xml:space="preserve">Table 1 </w:t>
      </w:r>
      <w:r>
        <w:rPr>
          <w:color w:val="000000" w:themeColor="text1"/>
        </w:rPr>
        <w:t>below</w:t>
      </w:r>
      <w:r w:rsidR="00346B3B" w:rsidRPr="00346B3B">
        <w:rPr>
          <w:color w:val="000000" w:themeColor="text1"/>
        </w:rPr>
        <w:t xml:space="preserve"> lists scenarios </w:t>
      </w:r>
      <w:r w:rsidR="00331E1D">
        <w:rPr>
          <w:color w:val="000000" w:themeColor="text1"/>
        </w:rPr>
        <w:t>in</w:t>
      </w:r>
      <w:r w:rsidR="00346B3B" w:rsidRPr="00346B3B">
        <w:rPr>
          <w:color w:val="000000" w:themeColor="text1"/>
        </w:rPr>
        <w:t xml:space="preserve"> which the mandatory statement would or would not apply, if food derived from GR2E was</w:t>
      </w:r>
      <w:r w:rsidR="00131B75">
        <w:rPr>
          <w:color w:val="000000" w:themeColor="text1"/>
        </w:rPr>
        <w:t xml:space="preserve"> ever</w:t>
      </w:r>
      <w:r w:rsidR="00346B3B" w:rsidRPr="00346B3B">
        <w:rPr>
          <w:color w:val="000000" w:themeColor="text1"/>
        </w:rPr>
        <w:t xml:space="preserve"> </w:t>
      </w:r>
      <w:r w:rsidRPr="00346B3B">
        <w:rPr>
          <w:color w:val="000000" w:themeColor="text1"/>
        </w:rPr>
        <w:t xml:space="preserve">made commercially available </w:t>
      </w:r>
      <w:r w:rsidR="00794AB4">
        <w:rPr>
          <w:color w:val="000000" w:themeColor="text1"/>
        </w:rPr>
        <w:t xml:space="preserve">in Australia or New Zealand or was </w:t>
      </w:r>
      <w:r w:rsidR="00346B3B" w:rsidRPr="00346B3B">
        <w:rPr>
          <w:color w:val="000000" w:themeColor="text1"/>
        </w:rPr>
        <w:t xml:space="preserve">unintentionally present in </w:t>
      </w:r>
      <w:r w:rsidR="00794AB4">
        <w:rPr>
          <w:color w:val="000000" w:themeColor="text1"/>
        </w:rPr>
        <w:t>a food (e</w:t>
      </w:r>
      <w:r w:rsidR="000A7CEA">
        <w:rPr>
          <w:color w:val="000000" w:themeColor="text1"/>
        </w:rPr>
        <w:t>.</w:t>
      </w:r>
      <w:r w:rsidR="00794AB4">
        <w:rPr>
          <w:color w:val="000000" w:themeColor="text1"/>
        </w:rPr>
        <w:t>g</w:t>
      </w:r>
      <w:r w:rsidR="000A7CEA">
        <w:rPr>
          <w:color w:val="000000" w:themeColor="text1"/>
        </w:rPr>
        <w:t>.</w:t>
      </w:r>
      <w:r w:rsidR="00794AB4">
        <w:rPr>
          <w:color w:val="000000" w:themeColor="text1"/>
        </w:rPr>
        <w:t xml:space="preserve"> an imported food) in </w:t>
      </w:r>
      <w:r w:rsidR="00346B3B" w:rsidRPr="00346B3B">
        <w:rPr>
          <w:color w:val="000000" w:themeColor="text1"/>
        </w:rPr>
        <w:t>an amount of more than 10 g per kilogram of each ingredient.</w:t>
      </w:r>
    </w:p>
    <w:p w14:paraId="5BB95677" w14:textId="77777777" w:rsidR="00F977C3" w:rsidRPr="00346B3B" w:rsidRDefault="00F977C3" w:rsidP="00346B3B">
      <w:pPr>
        <w:rPr>
          <w:color w:val="000000" w:themeColor="text1"/>
        </w:rPr>
      </w:pPr>
    </w:p>
    <w:p w14:paraId="7EAB62AB" w14:textId="68C79008" w:rsidR="0072718E" w:rsidRPr="00F5657B" w:rsidRDefault="00617B74" w:rsidP="00F5657B">
      <w:pPr>
        <w:pStyle w:val="FSTableTitle"/>
      </w:pPr>
      <w:r w:rsidRPr="00F5657B">
        <w:t>Table 1:</w:t>
      </w:r>
      <w:r w:rsidR="001C4C96" w:rsidRPr="00F5657B">
        <w:t xml:space="preserve"> Application of labelling requirement</w:t>
      </w:r>
      <w:r w:rsidR="006B5691" w:rsidRPr="00F5657B">
        <w:t>s for GR2E food and ingredients</w:t>
      </w:r>
    </w:p>
    <w:tbl>
      <w:tblPr>
        <w:tblStyle w:val="TableGrid"/>
        <w:tblW w:w="0" w:type="auto"/>
        <w:jc w:val="center"/>
        <w:tblLook w:val="04A0" w:firstRow="1" w:lastRow="0" w:firstColumn="1" w:lastColumn="0" w:noHBand="0" w:noVBand="1"/>
      </w:tblPr>
      <w:tblGrid>
        <w:gridCol w:w="5058"/>
        <w:gridCol w:w="2340"/>
      </w:tblGrid>
      <w:tr w:rsidR="006F2E2E" w14:paraId="17BD10CE" w14:textId="77777777" w:rsidTr="00346B3B">
        <w:trPr>
          <w:jc w:val="center"/>
        </w:trPr>
        <w:tc>
          <w:tcPr>
            <w:tcW w:w="5058" w:type="dxa"/>
            <w:shd w:val="clear" w:color="auto" w:fill="9BBD5F"/>
          </w:tcPr>
          <w:p w14:paraId="3DCE4A8F" w14:textId="1E38497B" w:rsidR="006F2E2E" w:rsidRDefault="006F2E2E" w:rsidP="006E5E7D">
            <w:pPr>
              <w:widowControl/>
              <w:rPr>
                <w:rFonts w:cs="Arial"/>
                <w:color w:val="000000" w:themeColor="text1"/>
                <w:szCs w:val="22"/>
                <w:lang w:val="en"/>
              </w:rPr>
            </w:pPr>
            <w:r>
              <w:rPr>
                <w:rFonts w:cs="Arial"/>
                <w:b/>
                <w:color w:val="000000" w:themeColor="text1"/>
                <w:sz w:val="20"/>
                <w:szCs w:val="20"/>
                <w:lang w:val="en"/>
              </w:rPr>
              <w:t xml:space="preserve">GR2E </w:t>
            </w:r>
            <w:r w:rsidRPr="008B6747">
              <w:rPr>
                <w:rFonts w:cs="Arial"/>
                <w:b/>
                <w:color w:val="000000" w:themeColor="text1"/>
                <w:sz w:val="20"/>
                <w:szCs w:val="20"/>
                <w:lang w:val="en"/>
              </w:rPr>
              <w:t>Food</w:t>
            </w:r>
            <w:r>
              <w:rPr>
                <w:rFonts w:cs="Arial"/>
                <w:b/>
                <w:color w:val="000000" w:themeColor="text1"/>
                <w:sz w:val="20"/>
                <w:szCs w:val="20"/>
                <w:lang w:val="en"/>
              </w:rPr>
              <w:t>/</w:t>
            </w:r>
            <w:r w:rsidRPr="008B6747">
              <w:rPr>
                <w:rFonts w:cs="Arial"/>
                <w:b/>
                <w:color w:val="000000" w:themeColor="text1"/>
                <w:sz w:val="20"/>
                <w:szCs w:val="20"/>
                <w:lang w:val="en"/>
              </w:rPr>
              <w:t>Ingredient</w:t>
            </w:r>
          </w:p>
        </w:tc>
        <w:tc>
          <w:tcPr>
            <w:tcW w:w="2340" w:type="dxa"/>
            <w:shd w:val="clear" w:color="auto" w:fill="9BBD5F"/>
          </w:tcPr>
          <w:p w14:paraId="2E0F304F" w14:textId="0D48D526" w:rsidR="006F2E2E" w:rsidRDefault="006F2E2E" w:rsidP="006E5E7D">
            <w:pPr>
              <w:widowControl/>
              <w:rPr>
                <w:rFonts w:cs="Arial"/>
                <w:color w:val="000000" w:themeColor="text1"/>
                <w:szCs w:val="22"/>
                <w:lang w:val="en"/>
              </w:rPr>
            </w:pPr>
            <w:r w:rsidRPr="008B6747">
              <w:rPr>
                <w:rFonts w:cs="Arial"/>
                <w:b/>
                <w:color w:val="000000" w:themeColor="text1"/>
                <w:sz w:val="20"/>
                <w:szCs w:val="20"/>
                <w:lang w:val="en"/>
              </w:rPr>
              <w:t>Mandatory statement</w:t>
            </w:r>
          </w:p>
        </w:tc>
      </w:tr>
      <w:tr w:rsidR="006F2E2E" w14:paraId="236EE3B7" w14:textId="77777777" w:rsidTr="00346B3B">
        <w:trPr>
          <w:jc w:val="center"/>
        </w:trPr>
        <w:tc>
          <w:tcPr>
            <w:tcW w:w="5058" w:type="dxa"/>
          </w:tcPr>
          <w:p w14:paraId="4B3A7AF6" w14:textId="40468838" w:rsidR="006F2E2E" w:rsidRPr="006F2E2E" w:rsidRDefault="006F2E2E" w:rsidP="00BE2B67">
            <w:pPr>
              <w:widowControl/>
              <w:rPr>
                <w:rFonts w:cs="Arial"/>
                <w:color w:val="000000" w:themeColor="text1"/>
                <w:szCs w:val="22"/>
                <w:lang w:val="en"/>
              </w:rPr>
            </w:pPr>
            <w:r w:rsidRPr="006F2E2E">
              <w:rPr>
                <w:rFonts w:cs="Arial"/>
                <w:color w:val="000000" w:themeColor="text1"/>
                <w:sz w:val="20"/>
                <w:szCs w:val="20"/>
                <w:lang w:val="en"/>
              </w:rPr>
              <w:t xml:space="preserve">Contains </w:t>
            </w:r>
            <w:r w:rsidR="00BE2B67">
              <w:rPr>
                <w:rFonts w:cs="Arial"/>
                <w:color w:val="000000" w:themeColor="text1"/>
                <w:sz w:val="20"/>
                <w:szCs w:val="20"/>
                <w:lang w:val="en"/>
              </w:rPr>
              <w:t>n</w:t>
            </w:r>
            <w:r w:rsidRPr="006F2E2E">
              <w:rPr>
                <w:rFonts w:cs="Arial"/>
                <w:color w:val="000000" w:themeColor="text1"/>
                <w:sz w:val="20"/>
                <w:szCs w:val="20"/>
                <w:lang w:val="en"/>
              </w:rPr>
              <w:t xml:space="preserve">ovel DNA or </w:t>
            </w:r>
            <w:r w:rsidR="00BE2B67">
              <w:rPr>
                <w:rFonts w:cs="Arial"/>
                <w:color w:val="000000" w:themeColor="text1"/>
                <w:sz w:val="20"/>
                <w:szCs w:val="20"/>
                <w:lang w:val="en"/>
              </w:rPr>
              <w:t>n</w:t>
            </w:r>
            <w:r w:rsidRPr="006F2E2E">
              <w:rPr>
                <w:rFonts w:cs="Arial"/>
                <w:color w:val="000000" w:themeColor="text1"/>
                <w:sz w:val="20"/>
                <w:szCs w:val="20"/>
                <w:lang w:val="en"/>
              </w:rPr>
              <w:t xml:space="preserve">ovel </w:t>
            </w:r>
            <w:r w:rsidR="00BE2B67">
              <w:rPr>
                <w:rFonts w:cs="Arial"/>
                <w:color w:val="000000" w:themeColor="text1"/>
                <w:sz w:val="20"/>
                <w:szCs w:val="20"/>
                <w:lang w:val="en"/>
              </w:rPr>
              <w:t>p</w:t>
            </w:r>
            <w:r w:rsidRPr="006F2E2E">
              <w:rPr>
                <w:rFonts w:cs="Arial"/>
                <w:color w:val="000000" w:themeColor="text1"/>
                <w:sz w:val="20"/>
                <w:szCs w:val="20"/>
                <w:lang w:val="en"/>
              </w:rPr>
              <w:t>rotein</w:t>
            </w:r>
          </w:p>
        </w:tc>
        <w:tc>
          <w:tcPr>
            <w:tcW w:w="2340" w:type="dxa"/>
          </w:tcPr>
          <w:p w14:paraId="1D8C1E30" w14:textId="61882D24" w:rsidR="006F2E2E" w:rsidRDefault="006F2E2E" w:rsidP="00BE2B67">
            <w:pPr>
              <w:widowControl/>
              <w:jc w:val="center"/>
              <w:rPr>
                <w:rFonts w:cs="Arial"/>
                <w:color w:val="000000" w:themeColor="text1"/>
                <w:szCs w:val="22"/>
                <w:lang w:val="en"/>
              </w:rPr>
            </w:pPr>
            <w:r>
              <w:rPr>
                <w:rFonts w:cs="Arial"/>
                <w:color w:val="000000" w:themeColor="text1"/>
                <w:szCs w:val="22"/>
                <w:lang w:val="en"/>
              </w:rPr>
              <w:sym w:font="Wingdings" w:char="F0FC"/>
            </w:r>
          </w:p>
        </w:tc>
      </w:tr>
      <w:tr w:rsidR="006F2E2E" w14:paraId="1067B54A" w14:textId="77777777" w:rsidTr="00346B3B">
        <w:trPr>
          <w:jc w:val="center"/>
        </w:trPr>
        <w:tc>
          <w:tcPr>
            <w:tcW w:w="5058" w:type="dxa"/>
            <w:shd w:val="clear" w:color="auto" w:fill="EAF1DD" w:themeFill="accent3" w:themeFillTint="33"/>
          </w:tcPr>
          <w:p w14:paraId="7022B9DF" w14:textId="3FB5C318" w:rsidR="006F2E2E" w:rsidRPr="006F2E2E" w:rsidRDefault="006F2E2E" w:rsidP="006E5E7D">
            <w:pPr>
              <w:widowControl/>
              <w:rPr>
                <w:rFonts w:cs="Arial"/>
                <w:color w:val="000000" w:themeColor="text1"/>
                <w:szCs w:val="22"/>
                <w:lang w:val="en"/>
              </w:rPr>
            </w:pPr>
            <w:r w:rsidRPr="006F2E2E">
              <w:rPr>
                <w:rFonts w:cs="Arial"/>
                <w:color w:val="000000" w:themeColor="text1"/>
                <w:sz w:val="20"/>
                <w:szCs w:val="20"/>
                <w:lang w:val="en"/>
              </w:rPr>
              <w:t>Contains β-carotene</w:t>
            </w:r>
          </w:p>
        </w:tc>
        <w:tc>
          <w:tcPr>
            <w:tcW w:w="2340" w:type="dxa"/>
            <w:shd w:val="clear" w:color="auto" w:fill="EAF1DD" w:themeFill="accent3" w:themeFillTint="33"/>
          </w:tcPr>
          <w:p w14:paraId="7F418A68" w14:textId="4038B97C" w:rsidR="006F2E2E" w:rsidRDefault="006F2E2E" w:rsidP="00BE2B67">
            <w:pPr>
              <w:widowControl/>
              <w:jc w:val="center"/>
              <w:rPr>
                <w:rFonts w:cs="Arial"/>
                <w:color w:val="000000" w:themeColor="text1"/>
                <w:szCs w:val="22"/>
                <w:lang w:val="en"/>
              </w:rPr>
            </w:pPr>
            <w:r>
              <w:rPr>
                <w:rFonts w:cs="Arial"/>
                <w:color w:val="000000" w:themeColor="text1"/>
                <w:szCs w:val="22"/>
                <w:lang w:val="en"/>
              </w:rPr>
              <w:sym w:font="Wingdings" w:char="F0FC"/>
            </w:r>
          </w:p>
        </w:tc>
      </w:tr>
      <w:tr w:rsidR="006F2E2E" w14:paraId="1C2FD644" w14:textId="77777777" w:rsidTr="00346B3B">
        <w:trPr>
          <w:jc w:val="center"/>
        </w:trPr>
        <w:tc>
          <w:tcPr>
            <w:tcW w:w="5058" w:type="dxa"/>
          </w:tcPr>
          <w:p w14:paraId="75A294F2" w14:textId="5237D005" w:rsidR="006F2E2E" w:rsidRPr="006F2E2E" w:rsidRDefault="006F2E2E" w:rsidP="006F2E2E">
            <w:pPr>
              <w:widowControl/>
              <w:rPr>
                <w:rFonts w:cs="Arial"/>
                <w:color w:val="000000" w:themeColor="text1"/>
                <w:sz w:val="20"/>
                <w:szCs w:val="20"/>
                <w:lang w:val="en"/>
              </w:rPr>
            </w:pPr>
            <w:r w:rsidRPr="006F2E2E">
              <w:rPr>
                <w:rFonts w:cs="Arial"/>
                <w:color w:val="000000" w:themeColor="text1"/>
                <w:sz w:val="20"/>
                <w:szCs w:val="20"/>
                <w:lang w:val="en"/>
              </w:rPr>
              <w:t>Novel DNA or protein absent</w:t>
            </w:r>
            <w:r>
              <w:rPr>
                <w:rFonts w:cs="Arial"/>
                <w:color w:val="000000" w:themeColor="text1"/>
                <w:sz w:val="20"/>
                <w:szCs w:val="20"/>
                <w:lang w:val="en"/>
              </w:rPr>
              <w:t xml:space="preserve"> but contains </w:t>
            </w:r>
            <w:r w:rsidRPr="006F2E2E">
              <w:rPr>
                <w:rFonts w:cs="Arial"/>
                <w:color w:val="000000" w:themeColor="text1"/>
                <w:sz w:val="20"/>
                <w:szCs w:val="20"/>
                <w:lang w:val="en"/>
              </w:rPr>
              <w:t>β-carotene</w:t>
            </w:r>
          </w:p>
        </w:tc>
        <w:tc>
          <w:tcPr>
            <w:tcW w:w="2340" w:type="dxa"/>
          </w:tcPr>
          <w:p w14:paraId="79390989" w14:textId="4E352607" w:rsidR="006F2E2E" w:rsidRDefault="006F2E2E" w:rsidP="00BE2B67">
            <w:pPr>
              <w:widowControl/>
              <w:jc w:val="center"/>
              <w:rPr>
                <w:rFonts w:cs="Arial"/>
                <w:color w:val="000000" w:themeColor="text1"/>
                <w:szCs w:val="22"/>
                <w:lang w:val="en"/>
              </w:rPr>
            </w:pPr>
            <w:r>
              <w:rPr>
                <w:rFonts w:cs="Arial"/>
                <w:color w:val="000000" w:themeColor="text1"/>
                <w:szCs w:val="22"/>
                <w:lang w:val="en"/>
              </w:rPr>
              <w:sym w:font="Wingdings" w:char="F0FC"/>
            </w:r>
          </w:p>
        </w:tc>
      </w:tr>
      <w:tr w:rsidR="006F2E2E" w14:paraId="3C476246" w14:textId="77777777" w:rsidTr="00B46CFE">
        <w:trPr>
          <w:jc w:val="center"/>
        </w:trPr>
        <w:tc>
          <w:tcPr>
            <w:tcW w:w="5058" w:type="dxa"/>
            <w:shd w:val="clear" w:color="auto" w:fill="EAF1DD" w:themeFill="accent3" w:themeFillTint="33"/>
          </w:tcPr>
          <w:p w14:paraId="78DD2853" w14:textId="4B139660" w:rsidR="006F2E2E" w:rsidRDefault="006F2E2E" w:rsidP="00BE2B67">
            <w:pPr>
              <w:widowControl/>
              <w:rPr>
                <w:rFonts w:cs="Arial"/>
                <w:color w:val="000000" w:themeColor="text1"/>
                <w:szCs w:val="22"/>
                <w:lang w:val="en"/>
              </w:rPr>
            </w:pPr>
            <w:r w:rsidRPr="006F2E2E">
              <w:rPr>
                <w:rFonts w:cs="Arial"/>
                <w:color w:val="000000" w:themeColor="text1"/>
                <w:sz w:val="20"/>
                <w:szCs w:val="20"/>
                <w:lang w:val="en"/>
              </w:rPr>
              <w:t xml:space="preserve">Novel DNA or protein </w:t>
            </w:r>
            <w:r>
              <w:rPr>
                <w:rFonts w:cs="Arial"/>
                <w:color w:val="000000" w:themeColor="text1"/>
                <w:sz w:val="20"/>
                <w:szCs w:val="20"/>
                <w:lang w:val="en"/>
              </w:rPr>
              <w:t xml:space="preserve">and </w:t>
            </w:r>
            <w:r w:rsidRPr="006F2E2E">
              <w:rPr>
                <w:rFonts w:cs="Arial"/>
                <w:color w:val="000000" w:themeColor="text1"/>
                <w:sz w:val="20"/>
                <w:szCs w:val="20"/>
                <w:lang w:val="en"/>
              </w:rPr>
              <w:t>β-carotene</w:t>
            </w:r>
            <w:r>
              <w:rPr>
                <w:rFonts w:cs="Arial"/>
                <w:color w:val="000000" w:themeColor="text1"/>
                <w:sz w:val="20"/>
                <w:szCs w:val="20"/>
                <w:lang w:val="en"/>
              </w:rPr>
              <w:t xml:space="preserve"> not present</w:t>
            </w:r>
            <w:r w:rsidR="009D0D8C">
              <w:rPr>
                <w:rFonts w:cs="Arial"/>
                <w:color w:val="000000" w:themeColor="text1"/>
                <w:sz w:val="20"/>
                <w:szCs w:val="20"/>
                <w:lang w:val="en"/>
              </w:rPr>
              <w:t xml:space="preserve"> </w:t>
            </w:r>
            <w:r w:rsidR="00B46CFE">
              <w:rPr>
                <w:rFonts w:cs="Arial"/>
                <w:color w:val="000000" w:themeColor="text1"/>
                <w:sz w:val="20"/>
                <w:szCs w:val="20"/>
                <w:lang w:val="en"/>
              </w:rPr>
              <w:t xml:space="preserve">   </w:t>
            </w:r>
            <w:r w:rsidR="009D0D8C">
              <w:rPr>
                <w:rFonts w:cs="Arial"/>
                <w:color w:val="000000" w:themeColor="text1"/>
                <w:sz w:val="20"/>
                <w:szCs w:val="20"/>
                <w:lang w:val="en"/>
              </w:rPr>
              <w:t xml:space="preserve"> i.e. </w:t>
            </w:r>
            <w:r w:rsidR="00085FAD">
              <w:rPr>
                <w:rFonts w:cs="Arial"/>
                <w:color w:val="000000" w:themeColor="text1"/>
                <w:sz w:val="20"/>
                <w:szCs w:val="20"/>
                <w:lang w:val="en"/>
              </w:rPr>
              <w:t xml:space="preserve">the </w:t>
            </w:r>
            <w:r w:rsidR="009D0D8C">
              <w:rPr>
                <w:rFonts w:cs="Arial"/>
                <w:color w:val="000000" w:themeColor="text1"/>
                <w:sz w:val="20"/>
                <w:szCs w:val="20"/>
                <w:lang w:val="en"/>
              </w:rPr>
              <w:t>s</w:t>
            </w:r>
            <w:r w:rsidR="00085FAD">
              <w:rPr>
                <w:rFonts w:cs="Arial"/>
                <w:color w:val="000000" w:themeColor="text1"/>
                <w:sz w:val="20"/>
                <w:szCs w:val="20"/>
                <w:lang w:val="en"/>
              </w:rPr>
              <w:t xml:space="preserve">ame as its </w:t>
            </w:r>
            <w:r w:rsidR="009D0D8C">
              <w:rPr>
                <w:rFonts w:cs="Arial"/>
                <w:color w:val="000000" w:themeColor="text1"/>
                <w:sz w:val="20"/>
                <w:szCs w:val="20"/>
                <w:lang w:val="en"/>
              </w:rPr>
              <w:t xml:space="preserve">conventional </w:t>
            </w:r>
            <w:r w:rsidR="00FF5FAE">
              <w:rPr>
                <w:rFonts w:cs="Arial"/>
                <w:color w:val="000000" w:themeColor="text1"/>
                <w:sz w:val="20"/>
                <w:szCs w:val="20"/>
                <w:lang w:val="en"/>
              </w:rPr>
              <w:t xml:space="preserve">(non-GM) </w:t>
            </w:r>
            <w:r w:rsidR="009D0D8C">
              <w:rPr>
                <w:rFonts w:cs="Arial"/>
                <w:color w:val="000000" w:themeColor="text1"/>
                <w:sz w:val="20"/>
                <w:szCs w:val="20"/>
                <w:lang w:val="en"/>
              </w:rPr>
              <w:t>counterpart</w:t>
            </w:r>
          </w:p>
        </w:tc>
        <w:tc>
          <w:tcPr>
            <w:tcW w:w="2340" w:type="dxa"/>
            <w:shd w:val="clear" w:color="auto" w:fill="EAF1DD" w:themeFill="accent3" w:themeFillTint="33"/>
            <w:vAlign w:val="center"/>
          </w:tcPr>
          <w:p w14:paraId="5760EBEA" w14:textId="66EE9970" w:rsidR="006F2E2E" w:rsidRDefault="00BE2B67" w:rsidP="00BE2B67">
            <w:pPr>
              <w:widowControl/>
              <w:jc w:val="center"/>
              <w:rPr>
                <w:rFonts w:cs="Arial"/>
                <w:color w:val="000000" w:themeColor="text1"/>
                <w:szCs w:val="22"/>
                <w:lang w:val="en"/>
              </w:rPr>
            </w:pPr>
            <w:r>
              <w:rPr>
                <w:rFonts w:cs="Arial"/>
                <w:color w:val="000000" w:themeColor="text1"/>
                <w:szCs w:val="22"/>
                <w:lang w:val="en"/>
              </w:rPr>
              <w:sym w:font="Wingdings" w:char="F0FB"/>
            </w:r>
          </w:p>
        </w:tc>
      </w:tr>
    </w:tbl>
    <w:p w14:paraId="6F060D3E" w14:textId="7470D1E1" w:rsidR="000A7CEA" w:rsidRDefault="000A7CEA" w:rsidP="000A7CEA">
      <w:pPr>
        <w:pStyle w:val="Heading4"/>
        <w:rPr>
          <w:lang w:val="en"/>
        </w:rPr>
      </w:pPr>
      <w:r>
        <w:rPr>
          <w:lang w:val="en"/>
        </w:rPr>
        <w:t>2.2.1.2</w:t>
      </w:r>
      <w:r>
        <w:rPr>
          <w:lang w:val="en"/>
        </w:rPr>
        <w:tab/>
      </w:r>
      <w:r w:rsidR="007E5DCF">
        <w:rPr>
          <w:lang w:val="en"/>
        </w:rPr>
        <w:t>Need for a</w:t>
      </w:r>
      <w:r>
        <w:rPr>
          <w:lang w:val="en"/>
        </w:rPr>
        <w:t>dditional labelling requirements</w:t>
      </w:r>
    </w:p>
    <w:p w14:paraId="69D93717" w14:textId="0BB96946" w:rsidR="004D155D" w:rsidRDefault="00C56FFC" w:rsidP="004D155D">
      <w:pPr>
        <w:widowControl/>
        <w:rPr>
          <w:rFonts w:cs="Arial"/>
          <w:color w:val="000000" w:themeColor="text1"/>
          <w:szCs w:val="22"/>
          <w:lang w:val="en"/>
        </w:rPr>
      </w:pPr>
      <w:r w:rsidRPr="001D325E">
        <w:rPr>
          <w:rFonts w:cs="Arial"/>
          <w:color w:val="000000" w:themeColor="text1"/>
          <w:szCs w:val="22"/>
          <w:lang w:val="en"/>
        </w:rPr>
        <w:t xml:space="preserve">Labelling of GM food is </w:t>
      </w:r>
      <w:r w:rsidR="00E212DC" w:rsidRPr="001D325E">
        <w:rPr>
          <w:rFonts w:cs="Arial"/>
          <w:color w:val="000000" w:themeColor="text1"/>
          <w:szCs w:val="22"/>
          <w:lang w:val="en"/>
        </w:rPr>
        <w:t>intended to address the objective set out in paragraph 18(1)(b) of the FSANZ Act</w:t>
      </w:r>
      <w:r w:rsidR="008E3D30" w:rsidRPr="001D325E">
        <w:rPr>
          <w:rFonts w:cs="Arial"/>
          <w:color w:val="000000" w:themeColor="text1"/>
          <w:szCs w:val="22"/>
          <w:lang w:val="en"/>
        </w:rPr>
        <w:t>—</w:t>
      </w:r>
      <w:r w:rsidR="00E212DC" w:rsidRPr="001D325E">
        <w:rPr>
          <w:rFonts w:cs="Arial"/>
          <w:color w:val="000000" w:themeColor="text1"/>
          <w:szCs w:val="22"/>
          <w:lang w:val="en"/>
        </w:rPr>
        <w:t xml:space="preserve">the provision of adequate information relating to food to enable consumers to make informed choices. For this reason, </w:t>
      </w:r>
      <w:r w:rsidR="005B0F65" w:rsidRPr="001D325E">
        <w:rPr>
          <w:rFonts w:cs="Arial"/>
          <w:color w:val="000000" w:themeColor="text1"/>
          <w:szCs w:val="22"/>
          <w:lang w:val="en"/>
        </w:rPr>
        <w:t xml:space="preserve">FSANZ has considered whether additional labelling </w:t>
      </w:r>
      <w:r w:rsidR="00ED154A" w:rsidRPr="001D325E">
        <w:rPr>
          <w:rFonts w:cs="Arial"/>
          <w:color w:val="000000" w:themeColor="text1"/>
          <w:szCs w:val="22"/>
          <w:lang w:val="en"/>
        </w:rPr>
        <w:t>(i</w:t>
      </w:r>
      <w:r w:rsidR="000A7CEA">
        <w:rPr>
          <w:rFonts w:cs="Arial"/>
          <w:color w:val="000000" w:themeColor="text1"/>
          <w:szCs w:val="22"/>
          <w:lang w:val="en"/>
        </w:rPr>
        <w:t>.</w:t>
      </w:r>
      <w:r w:rsidR="00ED154A" w:rsidRPr="001D325E">
        <w:rPr>
          <w:rFonts w:cs="Arial"/>
          <w:color w:val="000000" w:themeColor="text1"/>
          <w:szCs w:val="22"/>
          <w:lang w:val="en"/>
        </w:rPr>
        <w:t>e</w:t>
      </w:r>
      <w:r w:rsidR="000A7CEA">
        <w:rPr>
          <w:rFonts w:cs="Arial"/>
          <w:color w:val="000000" w:themeColor="text1"/>
          <w:szCs w:val="22"/>
          <w:lang w:val="en"/>
        </w:rPr>
        <w:t>.</w:t>
      </w:r>
      <w:r w:rsidR="00ED154A" w:rsidRPr="001D325E">
        <w:rPr>
          <w:rFonts w:cs="Arial"/>
          <w:color w:val="000000" w:themeColor="text1"/>
          <w:szCs w:val="22"/>
          <w:lang w:val="en"/>
        </w:rPr>
        <w:t xml:space="preserve"> in addition to the </w:t>
      </w:r>
      <w:r w:rsidR="00ED154A" w:rsidRPr="001D325E">
        <w:rPr>
          <w:color w:val="000000" w:themeColor="text1"/>
        </w:rPr>
        <w:t>mandatory ‘genetically modified’ statement described above</w:t>
      </w:r>
      <w:r w:rsidR="00ED154A" w:rsidRPr="001D325E">
        <w:rPr>
          <w:rFonts w:cs="Arial"/>
          <w:color w:val="000000" w:themeColor="text1"/>
          <w:szCs w:val="22"/>
          <w:lang w:val="en"/>
        </w:rPr>
        <w:t xml:space="preserve">) </w:t>
      </w:r>
      <w:r w:rsidR="005B0F65" w:rsidRPr="001D325E">
        <w:rPr>
          <w:rFonts w:cs="Arial"/>
          <w:color w:val="000000" w:themeColor="text1"/>
          <w:szCs w:val="22"/>
          <w:lang w:val="en"/>
        </w:rPr>
        <w:t xml:space="preserve">is required to alert consumers to the nature of the </w:t>
      </w:r>
      <w:r w:rsidR="002D7C5D" w:rsidRPr="001D325E">
        <w:rPr>
          <w:rFonts w:cs="Arial"/>
          <w:color w:val="000000" w:themeColor="text1"/>
          <w:szCs w:val="22"/>
          <w:lang w:val="en"/>
        </w:rPr>
        <w:t>altered characteristic when compared to non-GM rice</w:t>
      </w:r>
      <w:r w:rsidR="00C9185C" w:rsidRPr="001D325E">
        <w:rPr>
          <w:rFonts w:cs="Arial"/>
          <w:color w:val="000000" w:themeColor="text1"/>
          <w:szCs w:val="22"/>
          <w:lang w:val="en"/>
        </w:rPr>
        <w:t xml:space="preserve">. </w:t>
      </w:r>
      <w:r w:rsidR="00E45FA6" w:rsidRPr="001D325E">
        <w:rPr>
          <w:rFonts w:cs="Arial"/>
          <w:color w:val="000000" w:themeColor="text1"/>
          <w:szCs w:val="22"/>
          <w:lang w:val="en"/>
        </w:rPr>
        <w:t>R</w:t>
      </w:r>
      <w:r w:rsidR="005B0F65" w:rsidRPr="001D325E">
        <w:rPr>
          <w:rFonts w:cs="Arial"/>
          <w:color w:val="000000" w:themeColor="text1"/>
          <w:szCs w:val="22"/>
          <w:lang w:val="en"/>
        </w:rPr>
        <w:t xml:space="preserve">ice from line GR2E will appear yellow </w:t>
      </w:r>
      <w:r w:rsidR="00C9185C" w:rsidRPr="001D325E">
        <w:rPr>
          <w:rFonts w:cs="Arial"/>
          <w:color w:val="000000" w:themeColor="text1"/>
          <w:szCs w:val="22"/>
          <w:lang w:val="en"/>
        </w:rPr>
        <w:t xml:space="preserve">because </w:t>
      </w:r>
      <w:r w:rsidR="00964B9F" w:rsidRPr="001D325E">
        <w:rPr>
          <w:rFonts w:cs="Arial"/>
          <w:color w:val="000000" w:themeColor="text1"/>
          <w:szCs w:val="22"/>
          <w:lang w:val="en"/>
        </w:rPr>
        <w:t>β</w:t>
      </w:r>
      <w:r w:rsidR="00C9185C" w:rsidRPr="001D325E">
        <w:rPr>
          <w:rFonts w:cs="Arial"/>
          <w:color w:val="000000" w:themeColor="text1"/>
          <w:szCs w:val="22"/>
          <w:lang w:val="en"/>
        </w:rPr>
        <w:t xml:space="preserve">-carotene is present. </w:t>
      </w:r>
      <w:r w:rsidR="004F1730" w:rsidRPr="001D325E">
        <w:rPr>
          <w:rFonts w:cs="Arial"/>
          <w:color w:val="000000" w:themeColor="text1"/>
          <w:szCs w:val="22"/>
          <w:lang w:val="en"/>
        </w:rPr>
        <w:t>However, FSANZ is not proposing additional</w:t>
      </w:r>
      <w:r w:rsidR="004D52B8" w:rsidRPr="001D325E">
        <w:rPr>
          <w:rFonts w:cs="Arial"/>
          <w:color w:val="000000" w:themeColor="text1"/>
          <w:szCs w:val="22"/>
          <w:lang w:val="en"/>
        </w:rPr>
        <w:t xml:space="preserve"> mandatory</w:t>
      </w:r>
      <w:r w:rsidR="004F1730" w:rsidRPr="001D325E">
        <w:rPr>
          <w:rFonts w:cs="Arial"/>
          <w:color w:val="000000" w:themeColor="text1"/>
          <w:szCs w:val="22"/>
          <w:lang w:val="en"/>
        </w:rPr>
        <w:t xml:space="preserve"> labelling for </w:t>
      </w:r>
      <w:r w:rsidR="004D155D">
        <w:rPr>
          <w:rFonts w:cs="Arial"/>
          <w:color w:val="000000" w:themeColor="text1"/>
          <w:szCs w:val="22"/>
          <w:lang w:val="en"/>
        </w:rPr>
        <w:t>the following</w:t>
      </w:r>
      <w:r w:rsidR="004D155D" w:rsidRPr="001D325E">
        <w:rPr>
          <w:rFonts w:cs="Arial"/>
          <w:color w:val="000000" w:themeColor="text1"/>
          <w:szCs w:val="22"/>
          <w:lang w:val="en"/>
        </w:rPr>
        <w:t xml:space="preserve"> </w:t>
      </w:r>
      <w:r w:rsidR="00E212DC" w:rsidRPr="001D325E">
        <w:rPr>
          <w:rFonts w:cs="Arial"/>
          <w:color w:val="000000" w:themeColor="text1"/>
          <w:szCs w:val="22"/>
          <w:lang w:val="en"/>
        </w:rPr>
        <w:t>reasons</w:t>
      </w:r>
      <w:r w:rsidR="00035AE3">
        <w:rPr>
          <w:rFonts w:cs="Arial"/>
          <w:color w:val="000000" w:themeColor="text1"/>
          <w:szCs w:val="22"/>
          <w:lang w:val="en"/>
        </w:rPr>
        <w:t>:</w:t>
      </w:r>
      <w:r w:rsidR="004D155D" w:rsidRPr="004D155D" w:rsidDel="004D155D">
        <w:rPr>
          <w:rFonts w:cs="Arial"/>
          <w:color w:val="000000" w:themeColor="text1"/>
          <w:szCs w:val="22"/>
          <w:lang w:val="en"/>
        </w:rPr>
        <w:t xml:space="preserve"> </w:t>
      </w:r>
      <w:r w:rsidR="004D155D" w:rsidRPr="004D155D">
        <w:rPr>
          <w:rFonts w:cs="Arial"/>
          <w:color w:val="000000" w:themeColor="text1"/>
          <w:szCs w:val="22"/>
          <w:lang w:val="en"/>
        </w:rPr>
        <w:br/>
      </w:r>
    </w:p>
    <w:p w14:paraId="149BEAA6" w14:textId="08D61387" w:rsidR="004E42C8" w:rsidRDefault="004D155D" w:rsidP="001D325E">
      <w:pPr>
        <w:pStyle w:val="FSBullet1"/>
        <w:rPr>
          <w:lang w:val="en"/>
        </w:rPr>
      </w:pPr>
      <w:r w:rsidRPr="001D325E">
        <w:rPr>
          <w:color w:val="000000" w:themeColor="text1"/>
          <w:szCs w:val="22"/>
          <w:lang w:val="en"/>
        </w:rPr>
        <w:lastRenderedPageBreak/>
        <w:t>R</w:t>
      </w:r>
      <w:r w:rsidR="004F1730" w:rsidRPr="004D155D">
        <w:rPr>
          <w:rFonts w:eastAsia="Calibri"/>
          <w:lang w:val="en"/>
        </w:rPr>
        <w:t xml:space="preserve">ice containing the GR2E event is not intended </w:t>
      </w:r>
      <w:r w:rsidR="00B43E73" w:rsidRPr="004D155D">
        <w:rPr>
          <w:rFonts w:eastAsia="Calibri"/>
          <w:lang w:val="en"/>
        </w:rPr>
        <w:t xml:space="preserve">at this time </w:t>
      </w:r>
      <w:r w:rsidR="009A72B5">
        <w:rPr>
          <w:rFonts w:eastAsia="Calibri"/>
          <w:lang w:val="en"/>
        </w:rPr>
        <w:t>to be sold commercially</w:t>
      </w:r>
      <w:r w:rsidR="004F1730" w:rsidRPr="004D155D">
        <w:rPr>
          <w:rFonts w:eastAsia="Calibri"/>
          <w:lang w:val="en"/>
        </w:rPr>
        <w:t xml:space="preserve"> in Australia or New Zealand</w:t>
      </w:r>
      <w:r w:rsidR="006E5E7D" w:rsidRPr="004D155D">
        <w:rPr>
          <w:rFonts w:eastAsia="Calibri"/>
          <w:lang w:val="en"/>
        </w:rPr>
        <w:t xml:space="preserve"> (as noted under section 1.2)</w:t>
      </w:r>
      <w:r>
        <w:rPr>
          <w:lang w:val="en"/>
        </w:rPr>
        <w:t xml:space="preserve">. </w:t>
      </w:r>
      <w:r w:rsidR="004E42C8">
        <w:rPr>
          <w:lang w:val="en"/>
        </w:rPr>
        <w:br/>
      </w:r>
    </w:p>
    <w:p w14:paraId="2CC381EB" w14:textId="7D5CE6C8" w:rsidR="00E047C5" w:rsidRPr="00BF700E" w:rsidRDefault="00E047C5" w:rsidP="001D325E">
      <w:pPr>
        <w:pStyle w:val="FSBullet1"/>
        <w:rPr>
          <w:lang w:val="en"/>
        </w:rPr>
      </w:pPr>
      <w:r w:rsidRPr="001D325E">
        <w:rPr>
          <w:color w:val="000000" w:themeColor="text1"/>
          <w:szCs w:val="22"/>
          <w:lang w:val="en"/>
        </w:rPr>
        <w:t>If sold in Australia or New Zealand, r</w:t>
      </w:r>
      <w:r w:rsidR="004D155D" w:rsidRPr="004E42C8">
        <w:rPr>
          <w:rFonts w:eastAsia="Calibri"/>
          <w:lang w:val="en"/>
        </w:rPr>
        <w:t xml:space="preserve">ice containing the GR2E event </w:t>
      </w:r>
      <w:r w:rsidR="004D155D" w:rsidRPr="004E42C8">
        <w:rPr>
          <w:lang w:val="en"/>
        </w:rPr>
        <w:t xml:space="preserve">will be required to </w:t>
      </w:r>
      <w:r w:rsidR="00E212DC" w:rsidRPr="004E42C8">
        <w:rPr>
          <w:lang w:val="en"/>
        </w:rPr>
        <w:t xml:space="preserve">be labelled </w:t>
      </w:r>
      <w:r w:rsidR="004D155D" w:rsidRPr="004E42C8">
        <w:rPr>
          <w:lang w:val="en"/>
        </w:rPr>
        <w:t xml:space="preserve">as ‘genetically modified’ </w:t>
      </w:r>
      <w:r w:rsidRPr="004E42C8">
        <w:rPr>
          <w:lang w:val="en"/>
        </w:rPr>
        <w:t xml:space="preserve">(see above). </w:t>
      </w:r>
      <w:r w:rsidR="00BF700E" w:rsidRPr="00BF700E">
        <w:rPr>
          <w:color w:val="000000" w:themeColor="text1"/>
        </w:rPr>
        <w:t xml:space="preserve"> </w:t>
      </w:r>
      <w:r w:rsidR="00BF700E">
        <w:rPr>
          <w:color w:val="000000" w:themeColor="text1"/>
        </w:rPr>
        <w:t>I</w:t>
      </w:r>
      <w:r w:rsidR="004E42C8" w:rsidRPr="001D325E">
        <w:rPr>
          <w:color w:val="000000" w:themeColor="text1"/>
        </w:rPr>
        <w:t>ngredients derived from GR2E</w:t>
      </w:r>
      <w:r w:rsidR="00BF700E">
        <w:rPr>
          <w:color w:val="000000" w:themeColor="text1"/>
        </w:rPr>
        <w:t xml:space="preserve">, </w:t>
      </w:r>
      <w:r w:rsidR="004E42C8" w:rsidRPr="001D325E">
        <w:rPr>
          <w:color w:val="000000" w:themeColor="text1"/>
        </w:rPr>
        <w:t xml:space="preserve">would </w:t>
      </w:r>
      <w:r w:rsidR="00BF700E">
        <w:rPr>
          <w:color w:val="000000" w:themeColor="text1"/>
        </w:rPr>
        <w:t xml:space="preserve">also </w:t>
      </w:r>
      <w:r w:rsidR="004E42C8" w:rsidRPr="004E42C8">
        <w:rPr>
          <w:lang w:val="en"/>
        </w:rPr>
        <w:t xml:space="preserve">be required to </w:t>
      </w:r>
      <w:r w:rsidR="00BF700E">
        <w:rPr>
          <w:lang w:val="en"/>
        </w:rPr>
        <w:t xml:space="preserve">have </w:t>
      </w:r>
      <w:r w:rsidR="004E42C8" w:rsidRPr="001D325E">
        <w:rPr>
          <w:color w:val="000000" w:themeColor="text1"/>
        </w:rPr>
        <w:t>the ‘genetically modified’ labelling statement if they contain novel DNA, novel protein or β-carotene.</w:t>
      </w:r>
      <w:r w:rsidR="00BF700E">
        <w:rPr>
          <w:color w:val="000000" w:themeColor="text1"/>
        </w:rPr>
        <w:t xml:space="preserve"> </w:t>
      </w:r>
      <w:r w:rsidR="009A72B5" w:rsidRPr="00BF700E">
        <w:rPr>
          <w:lang w:val="en"/>
        </w:rPr>
        <w:t xml:space="preserve">Other labelling requirements would also apply to </w:t>
      </w:r>
      <w:r w:rsidR="00BF700E">
        <w:rPr>
          <w:lang w:val="en"/>
        </w:rPr>
        <w:t>such</w:t>
      </w:r>
      <w:r w:rsidR="009A72B5" w:rsidRPr="00BF700E">
        <w:rPr>
          <w:lang w:val="en"/>
        </w:rPr>
        <w:t xml:space="preserve"> food</w:t>
      </w:r>
      <w:r w:rsidR="00BF700E">
        <w:rPr>
          <w:lang w:val="en"/>
        </w:rPr>
        <w:t>s</w:t>
      </w:r>
      <w:r w:rsidR="009A72B5" w:rsidRPr="00BF700E">
        <w:rPr>
          <w:lang w:val="en"/>
        </w:rPr>
        <w:t xml:space="preserve">, including </w:t>
      </w:r>
      <w:r w:rsidR="00450539" w:rsidRPr="00BF700E">
        <w:rPr>
          <w:lang w:val="en"/>
        </w:rPr>
        <w:t>the requirements</w:t>
      </w:r>
      <w:r w:rsidR="009A72B5" w:rsidRPr="00BF700E">
        <w:rPr>
          <w:lang w:val="en"/>
        </w:rPr>
        <w:t xml:space="preserve"> contained in Standards 1.2.2</w:t>
      </w:r>
      <w:r w:rsidR="00C63D51">
        <w:rPr>
          <w:lang w:val="en"/>
        </w:rPr>
        <w:t xml:space="preserve"> (Information requirements – food identification)</w:t>
      </w:r>
      <w:r w:rsidR="009A72B5" w:rsidRPr="00BF700E">
        <w:rPr>
          <w:lang w:val="en"/>
        </w:rPr>
        <w:t xml:space="preserve"> and 1.2.4</w:t>
      </w:r>
      <w:r w:rsidR="00C63D51">
        <w:rPr>
          <w:lang w:val="en"/>
        </w:rPr>
        <w:t xml:space="preserve"> (Information requirements – statement of ingredients)</w:t>
      </w:r>
      <w:r w:rsidR="009A72B5" w:rsidRPr="00BF700E">
        <w:rPr>
          <w:lang w:val="en"/>
        </w:rPr>
        <w:t>.</w:t>
      </w:r>
      <w:r w:rsidRPr="00BF700E">
        <w:rPr>
          <w:lang w:val="en"/>
        </w:rPr>
        <w:br/>
      </w:r>
    </w:p>
    <w:p w14:paraId="302B072E" w14:textId="5F35A639" w:rsidR="004F1730" w:rsidRPr="004D155D" w:rsidRDefault="00E047C5" w:rsidP="001D325E">
      <w:pPr>
        <w:pStyle w:val="FSBullet1"/>
        <w:rPr>
          <w:lang w:val="en"/>
        </w:rPr>
      </w:pPr>
      <w:r>
        <w:rPr>
          <w:color w:val="000000" w:themeColor="text1"/>
          <w:szCs w:val="22"/>
          <w:lang w:val="en"/>
        </w:rPr>
        <w:t xml:space="preserve">If rice </w:t>
      </w:r>
      <w:r w:rsidRPr="004D155D">
        <w:rPr>
          <w:rFonts w:eastAsia="Calibri"/>
          <w:lang w:val="en"/>
        </w:rPr>
        <w:t>containing the GR2E event</w:t>
      </w:r>
      <w:r>
        <w:rPr>
          <w:rFonts w:eastAsia="Calibri"/>
          <w:lang w:val="en"/>
        </w:rPr>
        <w:t xml:space="preserve"> is unintentionally present in a food </w:t>
      </w:r>
      <w:r>
        <w:rPr>
          <w:color w:val="000000" w:themeColor="text1"/>
          <w:szCs w:val="22"/>
          <w:lang w:val="en"/>
        </w:rPr>
        <w:t>sold in Australia or New Zealand</w:t>
      </w:r>
      <w:r>
        <w:rPr>
          <w:rFonts w:eastAsia="Calibri"/>
          <w:lang w:val="en"/>
        </w:rPr>
        <w:t xml:space="preserve"> (e</w:t>
      </w:r>
      <w:r w:rsidR="009D090F">
        <w:rPr>
          <w:rFonts w:eastAsia="Calibri"/>
          <w:lang w:val="en"/>
        </w:rPr>
        <w:t>.</w:t>
      </w:r>
      <w:r>
        <w:rPr>
          <w:rFonts w:eastAsia="Calibri"/>
          <w:lang w:val="en"/>
        </w:rPr>
        <w:t>g</w:t>
      </w:r>
      <w:r w:rsidR="009D090F">
        <w:rPr>
          <w:rFonts w:eastAsia="Calibri"/>
          <w:lang w:val="en"/>
        </w:rPr>
        <w:t>.</w:t>
      </w:r>
      <w:r>
        <w:rPr>
          <w:rFonts w:eastAsia="Calibri"/>
          <w:lang w:val="en"/>
        </w:rPr>
        <w:t xml:space="preserve"> imported rice) </w:t>
      </w:r>
      <w:r w:rsidRPr="004D155D" w:rsidDel="00E047C5">
        <w:rPr>
          <w:lang w:val="en"/>
        </w:rPr>
        <w:t xml:space="preserve"> </w:t>
      </w:r>
      <w:r w:rsidR="00E212DC" w:rsidRPr="004D155D">
        <w:rPr>
          <w:lang w:val="en"/>
        </w:rPr>
        <w:t>in an amount of more than 10 g per kilogram of each ingredient (</w:t>
      </w:r>
      <w:r w:rsidR="006E5E7D" w:rsidRPr="004D155D">
        <w:rPr>
          <w:lang w:val="en"/>
        </w:rPr>
        <w:t xml:space="preserve">that is, </w:t>
      </w:r>
      <w:r w:rsidR="00E212DC" w:rsidRPr="004D155D">
        <w:rPr>
          <w:lang w:val="en"/>
        </w:rPr>
        <w:t>more than 1%)</w:t>
      </w:r>
      <w:r>
        <w:rPr>
          <w:lang w:val="en"/>
        </w:rPr>
        <w:t>, that food will be required to</w:t>
      </w:r>
      <w:r w:rsidRPr="004D155D">
        <w:rPr>
          <w:lang w:val="en"/>
        </w:rPr>
        <w:t xml:space="preserve"> be labelled </w:t>
      </w:r>
      <w:r>
        <w:rPr>
          <w:lang w:val="en"/>
        </w:rPr>
        <w:t>as ‘genetically modified’ (see above).</w:t>
      </w:r>
    </w:p>
    <w:p w14:paraId="6EEBB3FB" w14:textId="6FEB49D6" w:rsidR="008B57A5" w:rsidRPr="001D325E" w:rsidRDefault="008B57A5" w:rsidP="001D325E">
      <w:pPr>
        <w:pStyle w:val="FSBullet1"/>
        <w:numPr>
          <w:ilvl w:val="0"/>
          <w:numId w:val="0"/>
        </w:numPr>
        <w:ind w:left="567"/>
        <w:rPr>
          <w:rFonts w:eastAsia="Calibri"/>
          <w:lang w:val="en"/>
        </w:rPr>
      </w:pPr>
    </w:p>
    <w:p w14:paraId="73095434" w14:textId="779883AB" w:rsidR="00C55F02" w:rsidRPr="004D155D" w:rsidRDefault="004D155D" w:rsidP="001D325E">
      <w:pPr>
        <w:pStyle w:val="FSBullet1"/>
        <w:rPr>
          <w:lang w:val="en" w:eastAsia="en-AU"/>
        </w:rPr>
      </w:pPr>
      <w:r w:rsidRPr="007E5DCF">
        <w:t>S</w:t>
      </w:r>
      <w:r w:rsidR="00DC5835" w:rsidRPr="007E5DCF">
        <w:t>uppliers</w:t>
      </w:r>
      <w:r w:rsidR="00DC5835" w:rsidRPr="007E5DCF">
        <w:rPr>
          <w:lang w:val="en"/>
        </w:rPr>
        <w:t xml:space="preserve"> are unlikely to </w:t>
      </w:r>
      <w:r w:rsidR="0075554A" w:rsidRPr="007E5DCF">
        <w:rPr>
          <w:lang w:val="en"/>
        </w:rPr>
        <w:t xml:space="preserve">be able </w:t>
      </w:r>
      <w:r w:rsidR="004D52B8" w:rsidRPr="007E5DCF">
        <w:rPr>
          <w:lang w:val="en"/>
        </w:rPr>
        <w:t>to make voluntary nutrition content claims or health claims because the amount of Vitamin A</w:t>
      </w:r>
      <w:r w:rsidR="00DC5835" w:rsidRPr="007E5DCF">
        <w:rPr>
          <w:lang w:val="en"/>
        </w:rPr>
        <w:t xml:space="preserve"> </w:t>
      </w:r>
      <w:r w:rsidR="004D52B8" w:rsidRPr="007E5DCF">
        <w:rPr>
          <w:lang w:val="en"/>
        </w:rPr>
        <w:t>(</w:t>
      </w:r>
      <w:r w:rsidR="00DC5835" w:rsidRPr="007E5DCF">
        <w:rPr>
          <w:lang w:val="en"/>
        </w:rPr>
        <w:t xml:space="preserve">β-carotene </w:t>
      </w:r>
      <w:r w:rsidR="004D52B8" w:rsidRPr="007E5DCF">
        <w:rPr>
          <w:lang w:val="en"/>
        </w:rPr>
        <w:t xml:space="preserve">as </w:t>
      </w:r>
      <w:hyperlink r:id="rId24" w:history="1">
        <w:r w:rsidR="004D52B8" w:rsidRPr="007E5DCF">
          <w:rPr>
            <w:rStyle w:val="Hyperlink"/>
            <w:lang w:val="en"/>
          </w:rPr>
          <w:t>retinol equivalents</w:t>
        </w:r>
      </w:hyperlink>
      <w:r w:rsidR="00C30187">
        <w:rPr>
          <w:rStyle w:val="FootnoteReference"/>
          <w:lang w:val="en"/>
        </w:rPr>
        <w:footnoteReference w:id="5"/>
      </w:r>
      <w:r w:rsidR="004D52B8" w:rsidRPr="007E5DCF">
        <w:rPr>
          <w:lang w:val="en"/>
        </w:rPr>
        <w:t xml:space="preserve">) </w:t>
      </w:r>
      <w:r w:rsidR="00DC5835" w:rsidRPr="007E5DCF">
        <w:rPr>
          <w:lang w:val="en"/>
        </w:rPr>
        <w:t xml:space="preserve">in </w:t>
      </w:r>
      <w:r w:rsidR="004D52B8" w:rsidRPr="007E5DCF">
        <w:rPr>
          <w:lang w:val="en"/>
        </w:rPr>
        <w:t>GR2E</w:t>
      </w:r>
      <w:r w:rsidR="0075554A" w:rsidRPr="007E5DCF">
        <w:rPr>
          <w:lang w:val="en"/>
        </w:rPr>
        <w:t xml:space="preserve"> </w:t>
      </w:r>
      <w:r w:rsidR="00E45FA6" w:rsidRPr="007E5DCF">
        <w:rPr>
          <w:lang w:val="en"/>
        </w:rPr>
        <w:t>would be insufficient to meet claim conditions.</w:t>
      </w:r>
      <w:r w:rsidR="002D7C5D" w:rsidRPr="007E5DCF">
        <w:rPr>
          <w:lang w:val="en"/>
        </w:rPr>
        <w:t xml:space="preserve"> </w:t>
      </w:r>
      <w:r w:rsidR="00DE4B31" w:rsidRPr="004D155D">
        <w:rPr>
          <w:lang w:val="en"/>
        </w:rPr>
        <w:t>T</w:t>
      </w:r>
      <w:r w:rsidR="002D7C5D" w:rsidRPr="004D155D">
        <w:rPr>
          <w:lang w:val="en"/>
        </w:rPr>
        <w:t>o require</w:t>
      </w:r>
      <w:r w:rsidR="00C55F02" w:rsidRPr="004D155D">
        <w:rPr>
          <w:lang w:val="en"/>
        </w:rPr>
        <w:t xml:space="preserve"> </w:t>
      </w:r>
      <w:r w:rsidR="004D52B8" w:rsidRPr="004D155D">
        <w:rPr>
          <w:lang w:val="en"/>
        </w:rPr>
        <w:t xml:space="preserve">a </w:t>
      </w:r>
      <w:r w:rsidR="005B0F65" w:rsidRPr="004D155D">
        <w:rPr>
          <w:lang w:val="en"/>
        </w:rPr>
        <w:t>statement to the effect that the food has been genetically modif</w:t>
      </w:r>
      <w:r w:rsidR="00C9185C" w:rsidRPr="004D155D">
        <w:rPr>
          <w:lang w:val="en"/>
        </w:rPr>
        <w:t xml:space="preserve">ied to contain </w:t>
      </w:r>
      <w:r w:rsidR="00DC5835" w:rsidRPr="004D155D">
        <w:rPr>
          <w:lang w:val="en"/>
        </w:rPr>
        <w:t xml:space="preserve">Vitamin A as </w:t>
      </w:r>
      <w:r w:rsidR="00964B9F" w:rsidRPr="004D155D">
        <w:rPr>
          <w:lang w:val="en"/>
        </w:rPr>
        <w:t>β</w:t>
      </w:r>
      <w:r w:rsidR="00C9185C" w:rsidRPr="004D155D">
        <w:rPr>
          <w:lang w:val="en"/>
        </w:rPr>
        <w:t xml:space="preserve">-carotene </w:t>
      </w:r>
      <w:r w:rsidR="00C84A91" w:rsidRPr="004D155D">
        <w:rPr>
          <w:lang w:val="en"/>
        </w:rPr>
        <w:t xml:space="preserve">could </w:t>
      </w:r>
      <w:r w:rsidR="00C9185C" w:rsidRPr="004D155D">
        <w:rPr>
          <w:lang w:val="en"/>
        </w:rPr>
        <w:t xml:space="preserve">imply the food contributes a nutritionally significant amount of </w:t>
      </w:r>
      <w:r w:rsidR="00DC5835" w:rsidRPr="004D155D">
        <w:rPr>
          <w:lang w:val="en"/>
        </w:rPr>
        <w:t>this vitamin</w:t>
      </w:r>
      <w:r w:rsidR="004F1730" w:rsidRPr="004D155D">
        <w:rPr>
          <w:lang w:val="en"/>
        </w:rPr>
        <w:t>,</w:t>
      </w:r>
      <w:r w:rsidR="00C9185C" w:rsidRPr="004D155D">
        <w:rPr>
          <w:lang w:val="en"/>
        </w:rPr>
        <w:t xml:space="preserve"> when the actual amount may be ne</w:t>
      </w:r>
      <w:r w:rsidR="004F1730" w:rsidRPr="004D155D">
        <w:rPr>
          <w:lang w:val="en"/>
        </w:rPr>
        <w:t>gligible</w:t>
      </w:r>
      <w:r w:rsidR="00FD7589" w:rsidRPr="004D155D">
        <w:rPr>
          <w:lang w:val="en"/>
        </w:rPr>
        <w:t>,</w:t>
      </w:r>
      <w:r w:rsidR="002D7C5D" w:rsidRPr="004D155D">
        <w:rPr>
          <w:lang w:val="en"/>
        </w:rPr>
        <w:t xml:space="preserve"> and therefore be potentially misleading</w:t>
      </w:r>
      <w:r w:rsidR="004F1730" w:rsidRPr="004D155D">
        <w:rPr>
          <w:lang w:val="en"/>
        </w:rPr>
        <w:t xml:space="preserve">. </w:t>
      </w:r>
    </w:p>
    <w:p w14:paraId="4AC69F20" w14:textId="217393DC" w:rsidR="00AB20E4" w:rsidRPr="00296480" w:rsidRDefault="00296480" w:rsidP="008E3D30">
      <w:pPr>
        <w:pStyle w:val="Heading3"/>
        <w:widowControl/>
      </w:pPr>
      <w:bookmarkStart w:id="48" w:name="_Toc488316686"/>
      <w:r w:rsidRPr="00296480">
        <w:t>2.2.</w:t>
      </w:r>
      <w:r w:rsidR="00612E38">
        <w:t>2</w:t>
      </w:r>
      <w:r w:rsidRPr="00296480">
        <w:tab/>
      </w:r>
      <w:r w:rsidR="00AB20E4" w:rsidRPr="00296480">
        <w:t>Detection methodology</w:t>
      </w:r>
      <w:bookmarkEnd w:id="48"/>
    </w:p>
    <w:p w14:paraId="40D35A61" w14:textId="77777777" w:rsidR="00296480" w:rsidRDefault="00296480" w:rsidP="00BE3661">
      <w:pPr>
        <w:widowControl/>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6"/>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073F0738" w14:textId="77777777" w:rsidR="00296480" w:rsidRPr="008C1AE6" w:rsidRDefault="00296480" w:rsidP="00BE3661">
      <w:pPr>
        <w:widowControl/>
        <w:rPr>
          <w:color w:val="000000" w:themeColor="text1"/>
        </w:rPr>
      </w:pPr>
    </w:p>
    <w:p w14:paraId="73393D53" w14:textId="62B5A114" w:rsidR="00DA3F56" w:rsidRPr="00AC19E1" w:rsidRDefault="00296480" w:rsidP="00BE3661">
      <w:pPr>
        <w:widowControl/>
        <w:rPr>
          <w:color w:val="3333FF"/>
          <w:u w:val="single"/>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supplied by the Applicant for A1138.</w:t>
      </w:r>
      <w:r>
        <w:rPr>
          <w:lang w:eastAsia="en-AU" w:bidi="ar-SA"/>
        </w:rPr>
        <w:t xml:space="preserve"> </w:t>
      </w:r>
      <w:r>
        <w:t xml:space="preserve">Further to this, however, an event-specific quantitative method for detection of GR2E has been developed and has been referenced on the website of the </w:t>
      </w:r>
      <w:hyperlink r:id="rId25" w:history="1">
        <w:r w:rsidRPr="00296480">
          <w:rPr>
            <w:rStyle w:val="Hyperlink"/>
          </w:rPr>
          <w:t>European Commission Joint Research Centre</w:t>
        </w:r>
      </w:hyperlink>
      <w:r>
        <w:rPr>
          <w:rStyle w:val="FootnoteReference"/>
        </w:rPr>
        <w:footnoteReference w:id="7"/>
      </w:r>
    </w:p>
    <w:p w14:paraId="223B5E49" w14:textId="0943233C" w:rsidR="00DA3F56" w:rsidRDefault="00DA3F56" w:rsidP="00BE3661">
      <w:pPr>
        <w:pStyle w:val="Heading3"/>
        <w:widowControl/>
      </w:pPr>
      <w:bookmarkStart w:id="49" w:name="_Toc488316687"/>
      <w:r>
        <w:t>2.2.</w:t>
      </w:r>
      <w:r w:rsidR="00612E38">
        <w:t>3</w:t>
      </w:r>
      <w:r>
        <w:tab/>
        <w:t>Trade considerations</w:t>
      </w:r>
      <w:bookmarkEnd w:id="49"/>
    </w:p>
    <w:p w14:paraId="72577784" w14:textId="3DB6DC4F" w:rsidR="00D0288D" w:rsidRDefault="00D0288D" w:rsidP="00D0288D">
      <w:pPr>
        <w:widowControl/>
        <w:rPr>
          <w:lang w:eastAsia="en-AU" w:bidi="ar-SA"/>
        </w:rPr>
      </w:pPr>
      <w:r>
        <w:rPr>
          <w:color w:val="000000" w:themeColor="text1"/>
        </w:rPr>
        <w:t>The Applicant has indicated there is no intention to apply for commercial c</w:t>
      </w:r>
      <w:r w:rsidRPr="00DD5D09">
        <w:rPr>
          <w:color w:val="000000" w:themeColor="text1"/>
        </w:rPr>
        <w:t xml:space="preserve">ultivation </w:t>
      </w:r>
      <w:r>
        <w:rPr>
          <w:color w:val="000000" w:themeColor="text1"/>
        </w:rPr>
        <w:t xml:space="preserve">of GR2E </w:t>
      </w:r>
      <w:r w:rsidRPr="00DD5D09">
        <w:rPr>
          <w:color w:val="000000" w:themeColor="text1"/>
        </w:rPr>
        <w:t>in Australia</w:t>
      </w:r>
      <w:r>
        <w:rPr>
          <w:color w:val="000000" w:themeColor="text1"/>
        </w:rPr>
        <w:t xml:space="preserve"> of New Zealand. If cultivation were sought, it</w:t>
      </w:r>
      <w:r w:rsidRPr="00DD5D09">
        <w:rPr>
          <w:color w:val="000000" w:themeColor="text1"/>
        </w:rPr>
        <w:t xml:space="preserve"> would require independent assessment and approval b</w:t>
      </w:r>
      <w:r w:rsidR="00F66566">
        <w:rPr>
          <w:color w:val="000000" w:themeColor="text1"/>
        </w:rPr>
        <w:t xml:space="preserve">y the OGTR or </w:t>
      </w:r>
      <w:r>
        <w:rPr>
          <w:color w:val="000000" w:themeColor="text1"/>
        </w:rPr>
        <w:t xml:space="preserve">EPA. </w:t>
      </w:r>
      <w:r>
        <w:rPr>
          <w:lang w:eastAsia="en-AU" w:bidi="ar-SA"/>
        </w:rPr>
        <w:t>Providing permission for growing, and/ or distributing GR2E rice overseas is the responsibility of local regulatory agencies.</w:t>
      </w:r>
    </w:p>
    <w:p w14:paraId="52AD4994" w14:textId="77777777" w:rsidR="00D0288D" w:rsidRPr="00C1746C" w:rsidRDefault="00D0288D" w:rsidP="00D0288D">
      <w:pPr>
        <w:widowControl/>
        <w:rPr>
          <w:color w:val="000000" w:themeColor="text1"/>
        </w:rPr>
      </w:pPr>
    </w:p>
    <w:p w14:paraId="0B7BD65E" w14:textId="77777777" w:rsidR="00C612C0" w:rsidRDefault="00DA3F56" w:rsidP="00D0288D">
      <w:pPr>
        <w:widowControl/>
        <w:rPr>
          <w:lang w:eastAsia="en-AU" w:bidi="ar-SA"/>
        </w:rPr>
      </w:pPr>
      <w:r w:rsidRPr="003268C3">
        <w:rPr>
          <w:lang w:eastAsia="en-AU" w:bidi="ar-SA"/>
        </w:rPr>
        <w:t xml:space="preserve">Although GR2E rice is not likely to be grown or sold in Australia </w:t>
      </w:r>
      <w:r w:rsidR="000611DE" w:rsidRPr="003268C3">
        <w:rPr>
          <w:lang w:eastAsia="en-AU" w:bidi="ar-SA"/>
        </w:rPr>
        <w:t xml:space="preserve">or </w:t>
      </w:r>
      <w:r w:rsidRPr="003268C3">
        <w:rPr>
          <w:lang w:eastAsia="en-AU" w:bidi="ar-SA"/>
        </w:rPr>
        <w:t>New Zealand</w:t>
      </w:r>
      <w:r w:rsidR="00951F91" w:rsidRPr="003268C3">
        <w:rPr>
          <w:lang w:eastAsia="en-AU" w:bidi="ar-SA"/>
        </w:rPr>
        <w:t>,</w:t>
      </w:r>
      <w:r w:rsidRPr="003268C3">
        <w:rPr>
          <w:lang w:eastAsia="en-AU" w:bidi="ar-SA"/>
        </w:rPr>
        <w:t xml:space="preserve"> it may be </w:t>
      </w:r>
      <w:r w:rsidR="004E4AC9" w:rsidRPr="003268C3">
        <w:rPr>
          <w:lang w:eastAsia="en-AU" w:bidi="ar-SA"/>
        </w:rPr>
        <w:t xml:space="preserve">inadvertently </w:t>
      </w:r>
      <w:r w:rsidRPr="003268C3">
        <w:rPr>
          <w:lang w:eastAsia="en-AU" w:bidi="ar-SA"/>
        </w:rPr>
        <w:t xml:space="preserve">present in imported consignments of </w:t>
      </w:r>
      <w:r w:rsidR="00C159E3" w:rsidRPr="003268C3">
        <w:rPr>
          <w:lang w:eastAsia="en-AU" w:bidi="ar-SA"/>
        </w:rPr>
        <w:t xml:space="preserve">milled </w:t>
      </w:r>
      <w:r w:rsidRPr="003268C3">
        <w:rPr>
          <w:lang w:eastAsia="en-AU" w:bidi="ar-SA"/>
        </w:rPr>
        <w:t xml:space="preserve">rice. </w:t>
      </w:r>
    </w:p>
    <w:p w14:paraId="0C13B297" w14:textId="77777777" w:rsidR="00C612C0" w:rsidRDefault="00C612C0">
      <w:pPr>
        <w:widowControl/>
        <w:rPr>
          <w:lang w:eastAsia="en-AU" w:bidi="ar-SA"/>
        </w:rPr>
      </w:pPr>
      <w:r>
        <w:rPr>
          <w:lang w:eastAsia="en-AU" w:bidi="ar-SA"/>
        </w:rPr>
        <w:br w:type="page"/>
      </w:r>
    </w:p>
    <w:p w14:paraId="1F61422A" w14:textId="30ED9C53" w:rsidR="005E3648" w:rsidRDefault="007B7193" w:rsidP="00D0288D">
      <w:pPr>
        <w:widowControl/>
        <w:rPr>
          <w:lang w:eastAsia="en-AU" w:bidi="ar-SA"/>
        </w:rPr>
      </w:pPr>
      <w:r w:rsidRPr="003268C3">
        <w:rPr>
          <w:lang w:eastAsia="en-AU" w:bidi="ar-SA"/>
        </w:rPr>
        <w:lastRenderedPageBreak/>
        <w:t xml:space="preserve">In 2013 </w:t>
      </w:r>
      <w:r w:rsidR="00DA3F56" w:rsidRPr="003268C3">
        <w:rPr>
          <w:lang w:eastAsia="en-AU" w:bidi="ar-SA"/>
        </w:rPr>
        <w:t>Australia</w:t>
      </w:r>
      <w:r w:rsidR="004E4AC9" w:rsidRPr="003268C3">
        <w:rPr>
          <w:lang w:eastAsia="en-AU" w:bidi="ar-SA"/>
        </w:rPr>
        <w:t xml:space="preserve"> </w:t>
      </w:r>
      <w:r w:rsidRPr="003268C3">
        <w:rPr>
          <w:lang w:eastAsia="en-AU" w:bidi="ar-SA"/>
        </w:rPr>
        <w:t xml:space="preserve">imported 145,370 tonnes of milled rice </w:t>
      </w:r>
      <w:r w:rsidR="004C2ED6">
        <w:rPr>
          <w:lang w:eastAsia="en-AU" w:bidi="ar-SA"/>
        </w:rPr>
        <w:t>(representing around 45% of the rice consumed, according to</w:t>
      </w:r>
      <w:r w:rsidR="00F66566">
        <w:rPr>
          <w:lang w:eastAsia="en-AU" w:bidi="ar-SA"/>
        </w:rPr>
        <w:t xml:space="preserve"> figures in</w:t>
      </w:r>
      <w:r w:rsidR="004C2ED6">
        <w:rPr>
          <w:lang w:eastAsia="en-AU" w:bidi="ar-SA"/>
        </w:rPr>
        <w:t xml:space="preserve"> </w:t>
      </w:r>
      <w:hyperlink r:id="rId26" w:history="1">
        <w:r w:rsidR="004C2ED6" w:rsidRPr="004C2ED6">
          <w:rPr>
            <w:rStyle w:val="Hyperlink"/>
            <w:lang w:eastAsia="en-AU" w:bidi="ar-SA"/>
          </w:rPr>
          <w:t>Ricepedia</w:t>
        </w:r>
      </w:hyperlink>
      <w:r w:rsidR="004C2ED6">
        <w:rPr>
          <w:rStyle w:val="FootnoteReference"/>
          <w:lang w:eastAsia="en-AU" w:bidi="ar-SA"/>
        </w:rPr>
        <w:footnoteReference w:id="8"/>
      </w:r>
      <w:r w:rsidR="004C2ED6">
        <w:rPr>
          <w:lang w:eastAsia="en-AU" w:bidi="ar-SA"/>
        </w:rPr>
        <w:t xml:space="preserve">) </w:t>
      </w:r>
      <w:r w:rsidRPr="003268C3">
        <w:rPr>
          <w:lang w:eastAsia="en-AU" w:bidi="ar-SA"/>
        </w:rPr>
        <w:t>with the main suppliers being Thailand (49%), India (19%) and Pakistan (13%)</w:t>
      </w:r>
      <w:r w:rsidR="00AC2350" w:rsidRPr="003268C3">
        <w:rPr>
          <w:color w:val="000000" w:themeColor="text1"/>
        </w:rPr>
        <w:t xml:space="preserve"> </w:t>
      </w:r>
      <w:proofErr w:type="gramStart"/>
      <w:r w:rsidR="00AC2350" w:rsidRPr="003268C3">
        <w:rPr>
          <w:color w:val="000000" w:themeColor="text1"/>
        </w:rPr>
        <w:t>(FAOSTAT 2017)</w:t>
      </w:r>
      <w:r w:rsidRPr="003268C3">
        <w:rPr>
          <w:lang w:eastAsia="en-AU" w:bidi="ar-SA"/>
        </w:rPr>
        <w:t>.</w:t>
      </w:r>
      <w:proofErr w:type="gramEnd"/>
      <w:r w:rsidRPr="003268C3">
        <w:rPr>
          <w:lang w:eastAsia="en-AU" w:bidi="ar-SA"/>
        </w:rPr>
        <w:t xml:space="preserve"> In the same year</w:t>
      </w:r>
      <w:r w:rsidR="000611DE" w:rsidRPr="003268C3">
        <w:rPr>
          <w:lang w:eastAsia="en-AU" w:bidi="ar-SA"/>
        </w:rPr>
        <w:t>,</w:t>
      </w:r>
      <w:r w:rsidRPr="003268C3">
        <w:rPr>
          <w:lang w:eastAsia="en-AU" w:bidi="ar-SA"/>
        </w:rPr>
        <w:t xml:space="preserve"> </w:t>
      </w:r>
      <w:r w:rsidR="004E4AC9" w:rsidRPr="003268C3">
        <w:rPr>
          <w:lang w:eastAsia="en-AU" w:bidi="ar-SA"/>
        </w:rPr>
        <w:t>New Zealand</w:t>
      </w:r>
      <w:r w:rsidR="00DA3F56" w:rsidRPr="003268C3">
        <w:rPr>
          <w:lang w:eastAsia="en-AU" w:bidi="ar-SA"/>
        </w:rPr>
        <w:t xml:space="preserve"> import</w:t>
      </w:r>
      <w:r w:rsidRPr="003268C3">
        <w:rPr>
          <w:lang w:eastAsia="en-AU" w:bidi="ar-SA"/>
        </w:rPr>
        <w:t>ed</w:t>
      </w:r>
      <w:r w:rsidR="00DA3F56" w:rsidRPr="003268C3">
        <w:rPr>
          <w:lang w:eastAsia="en-AU" w:bidi="ar-SA"/>
        </w:rPr>
        <w:t xml:space="preserve"> </w:t>
      </w:r>
      <w:r w:rsidRPr="003268C3">
        <w:rPr>
          <w:lang w:eastAsia="en-AU" w:bidi="ar-SA"/>
        </w:rPr>
        <w:t>42,381 tonnes of milled rice</w:t>
      </w:r>
      <w:r w:rsidR="00DA3F56" w:rsidRPr="003268C3">
        <w:rPr>
          <w:lang w:eastAsia="en-AU" w:bidi="ar-SA"/>
        </w:rPr>
        <w:t xml:space="preserve"> </w:t>
      </w:r>
      <w:r w:rsidRPr="003268C3">
        <w:rPr>
          <w:lang w:eastAsia="en-AU" w:bidi="ar-SA"/>
        </w:rPr>
        <w:t xml:space="preserve">with the main suppliers being Australia (39%), Thailand (26%), and the U.S. (13%). While none of these countries is currently targeted for growing GR2E, some of them are in general regions </w:t>
      </w:r>
      <w:r w:rsidR="00DA3F56" w:rsidRPr="003268C3">
        <w:rPr>
          <w:lang w:eastAsia="en-AU" w:bidi="ar-SA"/>
        </w:rPr>
        <w:t>where GR2E rice may be grown</w:t>
      </w:r>
      <w:r w:rsidR="00EB6137" w:rsidRPr="003268C3">
        <w:rPr>
          <w:lang w:eastAsia="en-AU" w:bidi="ar-SA"/>
        </w:rPr>
        <w:t xml:space="preserve"> and may inadvertently enter export consignments</w:t>
      </w:r>
      <w:r w:rsidR="00395A82" w:rsidRPr="003268C3">
        <w:rPr>
          <w:lang w:eastAsia="en-AU" w:bidi="ar-SA"/>
        </w:rPr>
        <w:t>.</w:t>
      </w:r>
      <w:r w:rsidR="00DA3F56" w:rsidRPr="003268C3">
        <w:rPr>
          <w:lang w:eastAsia="en-AU" w:bidi="ar-SA"/>
        </w:rPr>
        <w:t xml:space="preserve"> Without </w:t>
      </w:r>
      <w:proofErr w:type="gramStart"/>
      <w:r w:rsidR="00DA3F56" w:rsidRPr="003268C3">
        <w:rPr>
          <w:lang w:eastAsia="en-AU" w:bidi="ar-SA"/>
        </w:rPr>
        <w:t>a permission</w:t>
      </w:r>
      <w:proofErr w:type="gramEnd"/>
      <w:r w:rsidR="00DA3F56" w:rsidRPr="003268C3">
        <w:rPr>
          <w:lang w:eastAsia="en-AU" w:bidi="ar-SA"/>
        </w:rPr>
        <w:t xml:space="preserve"> in the Code, a consignment of </w:t>
      </w:r>
      <w:r w:rsidR="00EB6137" w:rsidRPr="003268C3">
        <w:rPr>
          <w:lang w:eastAsia="en-AU" w:bidi="ar-SA"/>
        </w:rPr>
        <w:t xml:space="preserve">milled </w:t>
      </w:r>
      <w:r w:rsidR="00DA3F56" w:rsidRPr="003268C3">
        <w:rPr>
          <w:lang w:eastAsia="en-AU" w:bidi="ar-SA"/>
        </w:rPr>
        <w:t xml:space="preserve">rice with a very small amount of GR2E rice present </w:t>
      </w:r>
      <w:r w:rsidR="00951F91" w:rsidRPr="003268C3">
        <w:rPr>
          <w:lang w:eastAsia="en-AU" w:bidi="ar-SA"/>
        </w:rPr>
        <w:t>c</w:t>
      </w:r>
      <w:r w:rsidR="00DA3F56" w:rsidRPr="003268C3">
        <w:rPr>
          <w:lang w:eastAsia="en-AU" w:bidi="ar-SA"/>
        </w:rPr>
        <w:t xml:space="preserve">ould be rejected at the </w:t>
      </w:r>
      <w:r w:rsidR="00EB6137" w:rsidRPr="003268C3">
        <w:rPr>
          <w:lang w:eastAsia="en-AU" w:bidi="ar-SA"/>
        </w:rPr>
        <w:t xml:space="preserve">Australian or New </w:t>
      </w:r>
      <w:r w:rsidR="00395A82" w:rsidRPr="003268C3">
        <w:rPr>
          <w:lang w:eastAsia="en-AU" w:bidi="ar-SA"/>
        </w:rPr>
        <w:t>Zealand</w:t>
      </w:r>
      <w:r w:rsidR="00EB6137" w:rsidRPr="003268C3">
        <w:rPr>
          <w:lang w:eastAsia="en-AU" w:bidi="ar-SA"/>
        </w:rPr>
        <w:t xml:space="preserve"> </w:t>
      </w:r>
      <w:r w:rsidR="00DA3F56" w:rsidRPr="003268C3">
        <w:rPr>
          <w:lang w:eastAsia="en-AU" w:bidi="ar-SA"/>
        </w:rPr>
        <w:t>border</w:t>
      </w:r>
      <w:r w:rsidR="00395A82" w:rsidRPr="003268C3">
        <w:rPr>
          <w:lang w:eastAsia="en-AU" w:bidi="ar-SA"/>
        </w:rPr>
        <w:t xml:space="preserve"> and</w:t>
      </w:r>
      <w:r w:rsidR="004E4AC9" w:rsidRPr="003268C3">
        <w:rPr>
          <w:lang w:eastAsia="en-AU" w:bidi="ar-SA"/>
        </w:rPr>
        <w:t xml:space="preserve"> </w:t>
      </w:r>
      <w:r w:rsidR="00BE3661" w:rsidRPr="003268C3">
        <w:rPr>
          <w:lang w:eastAsia="en-AU" w:bidi="ar-SA"/>
        </w:rPr>
        <w:t xml:space="preserve">thereby </w:t>
      </w:r>
      <w:r w:rsidR="004E4AC9" w:rsidRPr="003268C3">
        <w:rPr>
          <w:lang w:eastAsia="en-AU" w:bidi="ar-SA"/>
        </w:rPr>
        <w:t>create trade disruption</w:t>
      </w:r>
      <w:r w:rsidR="00DA3F56" w:rsidRPr="003268C3">
        <w:rPr>
          <w:lang w:eastAsia="en-AU" w:bidi="ar-SA"/>
        </w:rPr>
        <w:t xml:space="preserve">. This Application therefore facilitates trade and ensures </w:t>
      </w:r>
      <w:r w:rsidR="005D5DC3">
        <w:rPr>
          <w:lang w:eastAsia="en-AU" w:bidi="ar-SA"/>
        </w:rPr>
        <w:t>the</w:t>
      </w:r>
      <w:r w:rsidR="00DA3F56" w:rsidRPr="003268C3">
        <w:rPr>
          <w:lang w:eastAsia="en-AU" w:bidi="ar-SA"/>
        </w:rPr>
        <w:t xml:space="preserve"> ongoing supply of </w:t>
      </w:r>
      <w:r w:rsidR="007B79B6" w:rsidRPr="003268C3">
        <w:rPr>
          <w:lang w:eastAsia="en-AU" w:bidi="ar-SA"/>
        </w:rPr>
        <w:t xml:space="preserve">milled </w:t>
      </w:r>
      <w:r w:rsidR="00DA3F56" w:rsidRPr="003268C3">
        <w:rPr>
          <w:lang w:eastAsia="en-AU" w:bidi="ar-SA"/>
        </w:rPr>
        <w:t>rice into Australia and New Zealand.</w:t>
      </w:r>
      <w:r w:rsidR="00DA3F56">
        <w:rPr>
          <w:lang w:eastAsia="en-AU" w:bidi="ar-SA"/>
        </w:rPr>
        <w:t xml:space="preserve"> </w:t>
      </w:r>
    </w:p>
    <w:p w14:paraId="08FE2B36" w14:textId="530AF7A4" w:rsidR="001D325E" w:rsidRDefault="001D325E">
      <w:pPr>
        <w:widowControl/>
        <w:rPr>
          <w:lang w:eastAsia="en-AU" w:bidi="ar-SA"/>
        </w:rPr>
      </w:pPr>
    </w:p>
    <w:p w14:paraId="5DCB8A2F" w14:textId="6869313D" w:rsidR="00DA3F56" w:rsidRPr="00DA3F56" w:rsidRDefault="00EB6137" w:rsidP="00D0288D">
      <w:pPr>
        <w:widowControl/>
        <w:rPr>
          <w:lang w:eastAsia="en-AU" w:bidi="ar-SA"/>
        </w:rPr>
      </w:pPr>
      <w:r w:rsidRPr="008E3D30">
        <w:rPr>
          <w:lang w:eastAsia="en-AU" w:bidi="ar-SA"/>
        </w:rPr>
        <w:t xml:space="preserve">It should be noted that </w:t>
      </w:r>
      <w:r w:rsidR="000D28E2">
        <w:rPr>
          <w:lang w:eastAsia="en-AU" w:bidi="ar-SA"/>
        </w:rPr>
        <w:t xml:space="preserve">uncooked </w:t>
      </w:r>
      <w:r w:rsidRPr="008E3D30">
        <w:rPr>
          <w:lang w:eastAsia="en-AU" w:bidi="ar-SA"/>
        </w:rPr>
        <w:t>GR2E paddy or brown rice could not be imported into Australia or New Zealand</w:t>
      </w:r>
      <w:r w:rsidR="007B79B6" w:rsidRPr="008E3D30">
        <w:rPr>
          <w:lang w:eastAsia="en-AU" w:bidi="ar-SA"/>
        </w:rPr>
        <w:t xml:space="preserve"> without an </w:t>
      </w:r>
      <w:r w:rsidR="00F66566">
        <w:rPr>
          <w:lang w:eastAsia="en-AU" w:bidi="ar-SA"/>
        </w:rPr>
        <w:t xml:space="preserve">environmental approval from the </w:t>
      </w:r>
      <w:r w:rsidR="00D0288D" w:rsidRPr="008E3D30">
        <w:rPr>
          <w:lang w:eastAsia="en-AU" w:bidi="ar-SA"/>
        </w:rPr>
        <w:t>OGTR or EPA</w:t>
      </w:r>
      <w:r w:rsidR="007B79B6" w:rsidRPr="008E3D30">
        <w:rPr>
          <w:lang w:eastAsia="en-AU" w:bidi="ar-SA"/>
        </w:rPr>
        <w:t xml:space="preserve"> because the presence of the embryo means the rice could be germinated i.e. would be regarded as a viable </w:t>
      </w:r>
      <w:r w:rsidR="001D325E">
        <w:rPr>
          <w:lang w:eastAsia="en-AU" w:bidi="ar-SA"/>
        </w:rPr>
        <w:t xml:space="preserve">genetically modified </w:t>
      </w:r>
      <w:r w:rsidR="007B79B6" w:rsidRPr="008E3D30">
        <w:rPr>
          <w:lang w:eastAsia="en-AU" w:bidi="ar-SA"/>
        </w:rPr>
        <w:t>organism.</w:t>
      </w:r>
      <w:r w:rsidR="00FD7589">
        <w:rPr>
          <w:lang w:eastAsia="en-AU" w:bidi="ar-SA"/>
        </w:rPr>
        <w:t xml:space="preserve"> </w:t>
      </w:r>
    </w:p>
    <w:p w14:paraId="05F557CF" w14:textId="77777777" w:rsidR="00E520FE" w:rsidRPr="00932F14" w:rsidRDefault="00296480" w:rsidP="00BE3661">
      <w:pPr>
        <w:pStyle w:val="Heading2"/>
        <w:widowControl/>
      </w:pPr>
      <w:bookmarkStart w:id="50" w:name="_Toc300933435"/>
      <w:bookmarkStart w:id="51" w:name="_Toc488316688"/>
      <w:r>
        <w:t>2.3</w:t>
      </w:r>
      <w:r w:rsidR="00E520FE">
        <w:tab/>
        <w:t>Risk communication</w:t>
      </w:r>
      <w:bookmarkEnd w:id="50"/>
      <w:bookmarkEnd w:id="51"/>
      <w:r w:rsidR="00E520FE">
        <w:t xml:space="preserve"> </w:t>
      </w:r>
    </w:p>
    <w:p w14:paraId="30364F7B" w14:textId="77777777" w:rsidR="00296480" w:rsidRPr="00296480" w:rsidRDefault="00296480" w:rsidP="00BE3661">
      <w:pPr>
        <w:pStyle w:val="Heading3"/>
        <w:widowControl/>
      </w:pPr>
      <w:bookmarkStart w:id="52" w:name="_Toc488316689"/>
      <w:r>
        <w:t>2.3.1</w:t>
      </w:r>
      <w:r>
        <w:tab/>
        <w:t>Consultation</w:t>
      </w:r>
      <w:bookmarkEnd w:id="52"/>
    </w:p>
    <w:p w14:paraId="13817AA1" w14:textId="39242001" w:rsidR="00296480" w:rsidRPr="00801000" w:rsidRDefault="00296480" w:rsidP="00BE3661">
      <w:pPr>
        <w:widowControl/>
        <w:rPr>
          <w:color w:val="000000" w:themeColor="text1"/>
          <w:szCs w:val="22"/>
        </w:rPr>
      </w:pPr>
      <w:r w:rsidRPr="0027513D">
        <w:rPr>
          <w:szCs w:val="22"/>
        </w:rPr>
        <w:t xml:space="preserve">Consultation is a key part of FSANZ’s standards development process. </w:t>
      </w:r>
      <w:r w:rsidRPr="00801000">
        <w:rPr>
          <w:color w:val="000000" w:themeColor="text1"/>
          <w:szCs w:val="22"/>
        </w:rPr>
        <w:t>FSANZ developed and applied a basic communication strategy to this Application. All calls for submissions are notified via the FSANZ Notification Circular, media release and through FSANZ’s social media tools and Food Standards News. Subscribers and interested parties are also notified about the availability of reports for public comment.</w:t>
      </w:r>
    </w:p>
    <w:p w14:paraId="694A1D45" w14:textId="77777777" w:rsidR="00296480" w:rsidRPr="00801000" w:rsidRDefault="00296480" w:rsidP="00BE3661">
      <w:pPr>
        <w:widowControl/>
        <w:rPr>
          <w:color w:val="000000" w:themeColor="text1"/>
          <w:szCs w:val="22"/>
        </w:rPr>
      </w:pPr>
    </w:p>
    <w:p w14:paraId="5B51D567" w14:textId="77777777" w:rsidR="00296480" w:rsidRPr="00801000" w:rsidRDefault="00296480" w:rsidP="00BE3661">
      <w:pPr>
        <w:widowControl/>
        <w:rPr>
          <w:color w:val="000000" w:themeColor="text1"/>
          <w:szCs w:val="22"/>
        </w:rPr>
      </w:pPr>
      <w:r w:rsidRPr="00801000">
        <w:rPr>
          <w:color w:val="000000" w:themeColor="text1"/>
          <w:szCs w:val="22"/>
        </w:rPr>
        <w:t>The draft variation will be considered for approval by the FSANZ Board taking into account public comments received on this call for submissions.</w:t>
      </w:r>
    </w:p>
    <w:p w14:paraId="6D74BB7D" w14:textId="77777777" w:rsidR="00296480" w:rsidRPr="00801000" w:rsidRDefault="00296480" w:rsidP="00BE3661">
      <w:pPr>
        <w:widowControl/>
        <w:rPr>
          <w:color w:val="000000" w:themeColor="text1"/>
          <w:szCs w:val="22"/>
        </w:rPr>
      </w:pPr>
    </w:p>
    <w:p w14:paraId="324999E8" w14:textId="77777777" w:rsidR="00296480" w:rsidRPr="00801000" w:rsidRDefault="00296480" w:rsidP="00BE3661">
      <w:pPr>
        <w:widowControl/>
        <w:rPr>
          <w:color w:val="000000" w:themeColor="text1"/>
          <w:szCs w:val="22"/>
        </w:rPr>
      </w:pPr>
      <w:r w:rsidRPr="00801000">
        <w:rPr>
          <w:color w:val="000000" w:themeColor="text1"/>
          <w:szCs w:val="22"/>
        </w:rPr>
        <w:t xml:space="preserve">The Applicant and individuals and organisations that make submissions on this Application will be notified at each stage of the assessment. </w:t>
      </w:r>
    </w:p>
    <w:p w14:paraId="4CA2178C" w14:textId="77777777" w:rsidR="00296480" w:rsidRPr="00801000" w:rsidRDefault="00296480" w:rsidP="00BE3661">
      <w:pPr>
        <w:widowControl/>
        <w:rPr>
          <w:color w:val="000000" w:themeColor="text1"/>
          <w:szCs w:val="22"/>
        </w:rPr>
      </w:pPr>
    </w:p>
    <w:p w14:paraId="016E2D88" w14:textId="60891E01" w:rsidR="00296480" w:rsidRDefault="00296480" w:rsidP="00BE3661">
      <w:pPr>
        <w:widowControl/>
        <w:rPr>
          <w:szCs w:val="22"/>
        </w:rPr>
      </w:pPr>
      <w:r w:rsidRPr="00801000">
        <w:rPr>
          <w:color w:val="000000" w:themeColor="text1"/>
          <w:szCs w:val="22"/>
        </w:rPr>
        <w:t xml:space="preserve">If the draft variation to the Code is approved by the FSANZ Board, that decision will be notified to the </w:t>
      </w:r>
      <w:r w:rsidRPr="00801000">
        <w:rPr>
          <w:color w:val="000000" w:themeColor="text1"/>
          <w:szCs w:val="22"/>
          <w:lang w:val="en-AU"/>
        </w:rPr>
        <w:t>Forum on Food Regulation</w:t>
      </w:r>
      <w:r w:rsidRPr="00801000">
        <w:rPr>
          <w:color w:val="000000" w:themeColor="text1"/>
          <w:szCs w:val="22"/>
        </w:rPr>
        <w:t>. If the Board’s decision is not subject to a request for a review, the Applicant and stakeholders, including the public, will be notified of the gazettal of the variation to the Code in the national press and on the website</w:t>
      </w:r>
      <w:r w:rsidRPr="009572C0">
        <w:rPr>
          <w:color w:val="000000" w:themeColor="text1"/>
          <w:szCs w:val="22"/>
        </w:rPr>
        <w:t>.</w:t>
      </w:r>
    </w:p>
    <w:p w14:paraId="7AD55B72" w14:textId="130E4762" w:rsidR="00296480" w:rsidRPr="00022DBC" w:rsidRDefault="00296480" w:rsidP="00BE3661">
      <w:pPr>
        <w:pStyle w:val="Heading3"/>
        <w:widowControl/>
      </w:pPr>
      <w:bookmarkStart w:id="53" w:name="_Toc300761912"/>
      <w:bookmarkStart w:id="54" w:name="_Toc300933439"/>
      <w:bookmarkStart w:id="55" w:name="_Toc476754827"/>
      <w:bookmarkStart w:id="56" w:name="_Toc488316690"/>
      <w:r>
        <w:t>2.3</w:t>
      </w:r>
      <w:r w:rsidRPr="00022DBC">
        <w:t>.2</w:t>
      </w:r>
      <w:r w:rsidRPr="00022DBC">
        <w:tab/>
      </w:r>
      <w:r w:rsidRPr="008827F0">
        <w:t>World Trade Organization (WTO)</w:t>
      </w:r>
      <w:bookmarkEnd w:id="53"/>
      <w:bookmarkEnd w:id="54"/>
      <w:bookmarkEnd w:id="55"/>
      <w:bookmarkEnd w:id="56"/>
      <w:r w:rsidR="000E6BAE" w:rsidRPr="008827F0">
        <w:t xml:space="preserve"> </w:t>
      </w:r>
    </w:p>
    <w:p w14:paraId="66222896" w14:textId="77777777" w:rsidR="00296480" w:rsidRPr="00801000" w:rsidRDefault="00296480" w:rsidP="00BE3661">
      <w:pPr>
        <w:widowControl/>
        <w:rPr>
          <w:rFonts w:cs="Arial"/>
          <w:color w:val="000000" w:themeColor="text1"/>
        </w:rPr>
      </w:pPr>
      <w:r w:rsidRPr="00801000">
        <w:rPr>
          <w:rFonts w:cs="Arial"/>
          <w:color w:val="000000" w:themeColor="text1"/>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477BF7C1" w14:textId="77777777" w:rsidR="00296480" w:rsidRPr="00801000" w:rsidRDefault="00296480" w:rsidP="00BE3661">
      <w:pPr>
        <w:widowControl/>
        <w:rPr>
          <w:color w:val="000000" w:themeColor="text1"/>
        </w:rPr>
      </w:pPr>
    </w:p>
    <w:p w14:paraId="79DC8B37" w14:textId="5FFD1645" w:rsidR="00296480" w:rsidRPr="00801000" w:rsidRDefault="00296480" w:rsidP="00BE3661">
      <w:pPr>
        <w:widowControl/>
        <w:tabs>
          <w:tab w:val="left" w:pos="1560"/>
        </w:tabs>
        <w:rPr>
          <w:rFonts w:cs="Arial"/>
          <w:iCs/>
          <w:color w:val="000000" w:themeColor="text1"/>
        </w:rPr>
      </w:pPr>
      <w:r w:rsidRPr="00801000">
        <w:rPr>
          <w:rFonts w:cs="Arial"/>
          <w:color w:val="000000" w:themeColor="text1"/>
        </w:rPr>
        <w:t xml:space="preserve">There are no relevant international standards and amending the Code to </w:t>
      </w:r>
      <w:r>
        <w:rPr>
          <w:rFonts w:cs="Arial"/>
          <w:color w:val="000000" w:themeColor="text1"/>
        </w:rPr>
        <w:t>permit food derived from GR2E</w:t>
      </w:r>
      <w:r w:rsidRPr="00801000">
        <w:rPr>
          <w:rFonts w:cs="Arial"/>
          <w:color w:val="000000" w:themeColor="text1"/>
        </w:rPr>
        <w:t xml:space="preserve"> is unlikely to have a significant effect on international trade</w:t>
      </w:r>
      <w:r w:rsidR="00C332CC">
        <w:rPr>
          <w:rFonts w:cs="Arial"/>
          <w:color w:val="000000" w:themeColor="text1"/>
        </w:rPr>
        <w:t>, given the humanitarian intention of the growing of GR2E.</w:t>
      </w:r>
      <w:r w:rsidRPr="00801000">
        <w:rPr>
          <w:rFonts w:cs="Arial"/>
          <w:color w:val="000000" w:themeColor="text1"/>
        </w:rPr>
        <w:t xml:space="preserve"> </w:t>
      </w:r>
      <w:r w:rsidRPr="00801000">
        <w:rPr>
          <w:rFonts w:cs="Arial"/>
          <w:iCs/>
          <w:color w:val="000000" w:themeColor="text1"/>
        </w:rPr>
        <w:t xml:space="preserve">Therefore, a notification to the WTO under </w:t>
      </w:r>
      <w:r w:rsidRPr="00801000">
        <w:rPr>
          <w:rFonts w:cs="Arial"/>
          <w:color w:val="000000" w:themeColor="text1"/>
        </w:rPr>
        <w:t>Australia’s and New Zealand’s</w:t>
      </w:r>
      <w:r w:rsidRPr="00801000">
        <w:rPr>
          <w:rFonts w:cs="Arial"/>
          <w:iCs/>
          <w:color w:val="000000" w:themeColor="text1"/>
        </w:rPr>
        <w:t xml:space="preserve"> obligations under the WTO Technical Barriers to Trade or Application of Sanitary and Phytosanitary Measures Agreement was not considered necessary.</w:t>
      </w:r>
    </w:p>
    <w:p w14:paraId="1CD5B099" w14:textId="77777777" w:rsidR="00E520FE" w:rsidRPr="00B62BD6" w:rsidRDefault="003D5835" w:rsidP="00BE3661">
      <w:pPr>
        <w:pStyle w:val="Heading2"/>
        <w:widowControl/>
        <w:rPr>
          <w:color w:val="000000" w:themeColor="text1"/>
        </w:rPr>
      </w:pPr>
      <w:bookmarkStart w:id="57" w:name="_Toc488316691"/>
      <w:r w:rsidRPr="00B62BD6">
        <w:rPr>
          <w:color w:val="000000" w:themeColor="text1"/>
        </w:rPr>
        <w:lastRenderedPageBreak/>
        <w:t>2.4</w:t>
      </w:r>
      <w:r w:rsidR="00022DBC" w:rsidRPr="00B62BD6">
        <w:rPr>
          <w:color w:val="000000" w:themeColor="text1"/>
        </w:rPr>
        <w:tab/>
        <w:t>FSANZ Act assessment requirements</w:t>
      </w:r>
      <w:bookmarkEnd w:id="57"/>
    </w:p>
    <w:p w14:paraId="4CE49B8C" w14:textId="77777777" w:rsidR="00726C2F" w:rsidRPr="00B62BD6" w:rsidRDefault="00726C2F" w:rsidP="00BE3661">
      <w:pPr>
        <w:widowControl/>
        <w:rPr>
          <w:color w:val="000000" w:themeColor="text1"/>
        </w:rPr>
      </w:pPr>
      <w:r w:rsidRPr="00B62BD6">
        <w:rPr>
          <w:color w:val="000000" w:themeColor="text1"/>
        </w:rPr>
        <w:t>When assessing this A</w:t>
      </w:r>
      <w:r w:rsidR="003D5835" w:rsidRPr="00B62BD6">
        <w:rPr>
          <w:color w:val="000000" w:themeColor="text1"/>
        </w:rPr>
        <w:t>pplication</w:t>
      </w:r>
      <w:r w:rsidRPr="00B62BD6">
        <w:rPr>
          <w:color w:val="000000" w:themeColor="text1"/>
        </w:rPr>
        <w:t xml:space="preserve"> and the subsequent development of a food regulatory measure, FSANZ has had regard to the </w:t>
      </w:r>
      <w:r w:rsidRPr="00B62BD6" w:rsidDel="00932F14">
        <w:rPr>
          <w:color w:val="000000" w:themeColor="text1"/>
        </w:rPr>
        <w:t xml:space="preserve">following </w:t>
      </w:r>
      <w:r w:rsidRPr="00B62BD6">
        <w:rPr>
          <w:color w:val="000000" w:themeColor="text1"/>
        </w:rPr>
        <w:t xml:space="preserve">matters in section </w:t>
      </w:r>
      <w:r w:rsidR="003D5835" w:rsidRPr="00B62BD6">
        <w:rPr>
          <w:color w:val="000000" w:themeColor="text1"/>
        </w:rPr>
        <w:t>29</w:t>
      </w:r>
      <w:r w:rsidRPr="00B62BD6">
        <w:rPr>
          <w:color w:val="000000" w:themeColor="text1"/>
        </w:rPr>
        <w:t xml:space="preserve"> of the FSANZ Act:</w:t>
      </w:r>
    </w:p>
    <w:p w14:paraId="79302C03" w14:textId="77777777" w:rsidR="003D5835" w:rsidRPr="00B62BD6" w:rsidRDefault="003D5835" w:rsidP="00BE3661">
      <w:pPr>
        <w:pStyle w:val="Heading3"/>
        <w:widowControl/>
      </w:pPr>
      <w:bookmarkStart w:id="58" w:name="_Toc488316692"/>
      <w:r w:rsidRPr="00B62BD6">
        <w:t>2.4.1</w:t>
      </w:r>
      <w:r w:rsidRPr="00B62BD6">
        <w:tab/>
        <w:t>Section 29</w:t>
      </w:r>
      <w:bookmarkEnd w:id="58"/>
    </w:p>
    <w:p w14:paraId="48156D58" w14:textId="77777777" w:rsidR="003D5835" w:rsidRPr="00172A56" w:rsidRDefault="003D5835" w:rsidP="00BE3661">
      <w:pPr>
        <w:pStyle w:val="Heading4"/>
        <w:widowControl/>
        <w:rPr>
          <w:color w:val="000000" w:themeColor="text1"/>
        </w:rPr>
      </w:pPr>
      <w:r>
        <w:rPr>
          <w:color w:val="000000" w:themeColor="text1"/>
        </w:rPr>
        <w:t>2.4</w:t>
      </w:r>
      <w:r w:rsidRPr="00172A56">
        <w:rPr>
          <w:color w:val="000000" w:themeColor="text1"/>
        </w:rPr>
        <w:t>.1.1</w:t>
      </w:r>
      <w:r w:rsidRPr="00172A56">
        <w:rPr>
          <w:color w:val="000000" w:themeColor="text1"/>
        </w:rPr>
        <w:tab/>
        <w:t>Co</w:t>
      </w:r>
      <w:r w:rsidRPr="00172A56">
        <w:rPr>
          <w:color w:val="000000" w:themeColor="text1"/>
          <w:lang w:val="en-AU"/>
        </w:rPr>
        <w:t>nsideration of costs and benefits</w:t>
      </w:r>
    </w:p>
    <w:p w14:paraId="7910A55A" w14:textId="77777777" w:rsidR="003D5835" w:rsidRPr="00801000" w:rsidRDefault="003D5835" w:rsidP="00BE3661">
      <w:pPr>
        <w:widowControl/>
        <w:rPr>
          <w:rFonts w:cs="Arial"/>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genetically modified foods </w:t>
      </w:r>
      <w:r>
        <w:rPr>
          <w:rFonts w:cs="Arial"/>
          <w:color w:val="000000" w:themeColor="text1"/>
        </w:rPr>
        <w:t>(ref</w:t>
      </w:r>
      <w:r w:rsidRPr="00801000">
        <w:rPr>
          <w:rFonts w:cs="Arial"/>
          <w:color w:val="000000" w:themeColor="text1"/>
        </w:rPr>
        <w:t xml:space="preserve"> 12065).</w:t>
      </w:r>
    </w:p>
    <w:p w14:paraId="0EA46C7A" w14:textId="77777777" w:rsidR="003D5835" w:rsidRPr="00801000" w:rsidRDefault="003D5835" w:rsidP="00BE3661">
      <w:pPr>
        <w:widowControl/>
        <w:rPr>
          <w:rFonts w:cs="Arial"/>
          <w:color w:val="000000" w:themeColor="text1"/>
        </w:rPr>
      </w:pPr>
    </w:p>
    <w:p w14:paraId="54E244AF" w14:textId="77777777" w:rsidR="003D5835" w:rsidRPr="00801000" w:rsidRDefault="003D5835" w:rsidP="00BE3661">
      <w:pPr>
        <w:widowControl/>
        <w:rPr>
          <w:rFonts w:cs="Arial"/>
          <w:color w:val="000000" w:themeColor="text1"/>
        </w:rPr>
      </w:pPr>
      <w:r w:rsidRPr="00801000">
        <w:rPr>
          <w:rFonts w:cs="Arial"/>
          <w:color w:val="000000" w:themeColor="text1"/>
        </w:rPr>
        <w:t>This standing exemption was provided as such changes are considered as minor, machinery and deregulatory in nature. The exemption relates to the introduction of a food to the food supply that has been determined to be safe.</w:t>
      </w:r>
    </w:p>
    <w:p w14:paraId="33271D3E" w14:textId="6CBE95A6" w:rsidR="003D5835" w:rsidRPr="00801000" w:rsidRDefault="003D5835" w:rsidP="00BE3661">
      <w:pPr>
        <w:widowControl/>
        <w:rPr>
          <w:color w:val="000000" w:themeColor="text1"/>
        </w:rPr>
      </w:pPr>
      <w:r w:rsidRPr="00801000">
        <w:rPr>
          <w:color w:val="000000" w:themeColor="text1"/>
        </w:rPr>
        <w:t>Notwithstanding the above exemption, FSANZ conducted a cost benefit analysis. That analysis found the direct and in</w:t>
      </w:r>
      <w:r w:rsidR="00D0288D">
        <w:rPr>
          <w:color w:val="000000" w:themeColor="text1"/>
        </w:rPr>
        <w:t>direct benefits arising</w:t>
      </w:r>
      <w:r w:rsidRPr="00801000">
        <w:rPr>
          <w:color w:val="000000" w:themeColor="text1"/>
        </w:rPr>
        <w:t xml:space="preserve"> from a food regulatory measure developed or varied as a result of the Application outweigh the costs to the community, </w:t>
      </w:r>
      <w:r w:rsidR="00951F91" w:rsidRPr="00801000">
        <w:rPr>
          <w:color w:val="000000" w:themeColor="text1"/>
        </w:rPr>
        <w:t xml:space="preserve">government </w:t>
      </w:r>
      <w:r w:rsidRPr="00801000">
        <w:rPr>
          <w:color w:val="000000" w:themeColor="text1"/>
        </w:rPr>
        <w:t>or industry that would arise from the development or variation of that measure.</w:t>
      </w:r>
    </w:p>
    <w:p w14:paraId="6507A3B6" w14:textId="322C1E13" w:rsidR="003D5835" w:rsidRPr="00801000" w:rsidRDefault="003D5835" w:rsidP="00BE3661">
      <w:pPr>
        <w:widowControl/>
        <w:rPr>
          <w:color w:val="000000" w:themeColor="text1"/>
        </w:rPr>
      </w:pPr>
      <w:r w:rsidRPr="00801000">
        <w:rPr>
          <w:color w:val="000000" w:themeColor="text1"/>
        </w:rPr>
        <w:t xml:space="preserve">A 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712060D8" w14:textId="77777777" w:rsidR="003D5835" w:rsidRDefault="003D5835" w:rsidP="00BE3661">
      <w:pPr>
        <w:widowControl/>
        <w:rPr>
          <w:color w:val="000000" w:themeColor="text1"/>
        </w:rPr>
      </w:pPr>
    </w:p>
    <w:p w14:paraId="0E854DCF" w14:textId="2A335639" w:rsidR="003D5835" w:rsidRPr="005A5D42" w:rsidRDefault="003D5835" w:rsidP="00BE3661">
      <w:pPr>
        <w:widowControl/>
        <w:rPr>
          <w:color w:val="000000" w:themeColor="text1"/>
        </w:rPr>
      </w:pPr>
      <w:r w:rsidRPr="00801000">
        <w:rPr>
          <w:color w:val="000000" w:themeColor="text1"/>
        </w:rPr>
        <w:t xml:space="preserve">The </w:t>
      </w:r>
      <w:r>
        <w:rPr>
          <w:color w:val="000000" w:themeColor="text1"/>
        </w:rPr>
        <w:t>options below are</w:t>
      </w:r>
      <w:r w:rsidRPr="00801000">
        <w:rPr>
          <w:color w:val="000000" w:themeColor="text1"/>
        </w:rPr>
        <w:t xml:space="preserve"> based on </w:t>
      </w:r>
      <w:r>
        <w:rPr>
          <w:color w:val="000000" w:themeColor="text1"/>
        </w:rPr>
        <w:t>rice containing event GR2E</w:t>
      </w:r>
      <w:r w:rsidR="005A5D42">
        <w:rPr>
          <w:color w:val="000000" w:themeColor="text1"/>
        </w:rPr>
        <w:t xml:space="preserve"> being commercialised</w:t>
      </w:r>
      <w:r w:rsidR="00F02F41">
        <w:rPr>
          <w:color w:val="000000" w:themeColor="text1"/>
        </w:rPr>
        <w:t xml:space="preserve"> </w:t>
      </w:r>
      <w:r w:rsidR="00F02F41">
        <w:rPr>
          <w:rFonts w:cs="Arial"/>
          <w:color w:val="000000" w:themeColor="text1"/>
        </w:rPr>
        <w:t xml:space="preserve">(see section </w:t>
      </w:r>
      <w:r w:rsidR="00F02F41" w:rsidRPr="00CB2DF9">
        <w:rPr>
          <w:rFonts w:cs="Arial"/>
        </w:rPr>
        <w:t>2.2.3)</w:t>
      </w:r>
      <w:r w:rsidR="00F02F41">
        <w:t xml:space="preserve"> </w:t>
      </w:r>
      <w:r w:rsidR="005A5D42">
        <w:rPr>
          <w:color w:val="000000" w:themeColor="text1"/>
        </w:rPr>
        <w:t>noting that</w:t>
      </w:r>
      <w:r w:rsidR="00F02F41">
        <w:rPr>
          <w:color w:val="000000" w:themeColor="text1"/>
        </w:rPr>
        <w:t xml:space="preserve">, if it were, </w:t>
      </w:r>
      <w:r w:rsidR="005A5D42">
        <w:rPr>
          <w:color w:val="000000" w:themeColor="text1"/>
        </w:rPr>
        <w:t>c</w:t>
      </w:r>
      <w:r w:rsidRPr="00801000">
        <w:rPr>
          <w:rFonts w:cs="Arial"/>
          <w:color w:val="000000" w:themeColor="text1"/>
        </w:rPr>
        <w:t>ultivation in Australia or New Zealand would require se</w:t>
      </w:r>
      <w:r w:rsidR="008827F0">
        <w:rPr>
          <w:rFonts w:cs="Arial"/>
          <w:color w:val="000000" w:themeColor="text1"/>
        </w:rPr>
        <w:t>parate r</w:t>
      </w:r>
      <w:r w:rsidR="00F02F41">
        <w:rPr>
          <w:rFonts w:cs="Arial"/>
          <w:color w:val="000000" w:themeColor="text1"/>
        </w:rPr>
        <w:t>egulatory approval.</w:t>
      </w:r>
    </w:p>
    <w:p w14:paraId="2B06B128" w14:textId="77777777" w:rsidR="003D5835" w:rsidRPr="00801000" w:rsidRDefault="003D5835" w:rsidP="00BE3661">
      <w:pPr>
        <w:pStyle w:val="Heading4"/>
        <w:widowControl/>
        <w:ind w:left="0" w:firstLine="0"/>
        <w:rPr>
          <w:b w:val="0"/>
          <w:color w:val="000000" w:themeColor="text1"/>
        </w:rPr>
      </w:pPr>
      <w:r w:rsidRPr="00801000">
        <w:rPr>
          <w:b w:val="0"/>
          <w:color w:val="000000" w:themeColor="text1"/>
        </w:rPr>
        <w:t>Option 1 – Prepare a draft variation to Schedule 26</w:t>
      </w:r>
    </w:p>
    <w:p w14:paraId="7EECB855" w14:textId="776F4551" w:rsidR="00C50C1C" w:rsidRPr="00801000" w:rsidRDefault="00C50C1C" w:rsidP="00C50C1C">
      <w:pPr>
        <w:widowControl/>
        <w:ind w:left="1418" w:hanging="1418"/>
        <w:rPr>
          <w:color w:val="000000" w:themeColor="text1"/>
        </w:rPr>
      </w:pPr>
      <w:r w:rsidRPr="00801000">
        <w:rPr>
          <w:i/>
          <w:color w:val="000000" w:themeColor="text1"/>
        </w:rPr>
        <w:t>Industry:</w:t>
      </w:r>
      <w:r w:rsidRPr="00801000">
        <w:rPr>
          <w:color w:val="000000" w:themeColor="text1"/>
        </w:rPr>
        <w:tab/>
      </w:r>
      <w:r>
        <w:rPr>
          <w:color w:val="000000" w:themeColor="text1"/>
        </w:rPr>
        <w:t>Rice</w:t>
      </w:r>
      <w:r w:rsidRPr="00801000">
        <w:rPr>
          <w:color w:val="000000" w:themeColor="text1"/>
        </w:rPr>
        <w:t xml:space="preserve"> derived from </w:t>
      </w:r>
      <w:r>
        <w:rPr>
          <w:color w:val="000000" w:themeColor="text1"/>
        </w:rPr>
        <w:t>GR2E</w:t>
      </w:r>
      <w:r w:rsidRPr="00801000">
        <w:rPr>
          <w:color w:val="000000" w:themeColor="text1"/>
        </w:rPr>
        <w:t xml:space="preserve"> </w:t>
      </w:r>
      <w:r w:rsidR="000737BC">
        <w:rPr>
          <w:color w:val="000000" w:themeColor="text1"/>
        </w:rPr>
        <w:t xml:space="preserve">and its products </w:t>
      </w:r>
      <w:r w:rsidRPr="00801000">
        <w:rPr>
          <w:color w:val="000000" w:themeColor="text1"/>
        </w:rPr>
        <w:t>would be permitted un</w:t>
      </w:r>
      <w:r>
        <w:rPr>
          <w:color w:val="000000" w:themeColor="text1"/>
        </w:rPr>
        <w:t xml:space="preserve">der the Code and therefore any rice </w:t>
      </w:r>
      <w:r w:rsidR="000737BC">
        <w:rPr>
          <w:color w:val="000000" w:themeColor="text1"/>
        </w:rPr>
        <w:t xml:space="preserve">grain </w:t>
      </w:r>
      <w:r>
        <w:rPr>
          <w:color w:val="000000" w:themeColor="text1"/>
        </w:rPr>
        <w:t xml:space="preserve">imports that inadvertently contained the GR2E event would not be prevented from entering </w:t>
      </w:r>
      <w:r w:rsidR="000737BC">
        <w:rPr>
          <w:color w:val="000000" w:themeColor="text1"/>
        </w:rPr>
        <w:t>either</w:t>
      </w:r>
      <w:r>
        <w:rPr>
          <w:color w:val="000000" w:themeColor="text1"/>
        </w:rPr>
        <w:t xml:space="preserve"> country.</w:t>
      </w:r>
    </w:p>
    <w:p w14:paraId="5A688100" w14:textId="77777777" w:rsidR="00C50C1C" w:rsidRPr="00801000" w:rsidRDefault="00C50C1C" w:rsidP="00C50C1C">
      <w:pPr>
        <w:widowControl/>
        <w:ind w:left="1418" w:hanging="1418"/>
        <w:rPr>
          <w:color w:val="000000" w:themeColor="text1"/>
        </w:rPr>
      </w:pPr>
    </w:p>
    <w:p w14:paraId="7629BB08" w14:textId="65F34AA1" w:rsidR="00C50C1C" w:rsidRPr="00801000" w:rsidRDefault="00C50C1C" w:rsidP="00C50C1C">
      <w:pPr>
        <w:widowControl/>
        <w:ind w:left="1418"/>
        <w:rPr>
          <w:color w:val="000000" w:themeColor="text1"/>
        </w:rPr>
      </w:pPr>
      <w:r w:rsidRPr="00801000">
        <w:rPr>
          <w:color w:val="000000" w:themeColor="text1"/>
        </w:rPr>
        <w:t xml:space="preserve">The segregation of </w:t>
      </w:r>
      <w:r>
        <w:rPr>
          <w:color w:val="000000" w:themeColor="text1"/>
        </w:rPr>
        <w:t>grain from GR2E from conventional rice grain</w:t>
      </w:r>
      <w:r w:rsidRPr="00801000">
        <w:rPr>
          <w:color w:val="000000" w:themeColor="text1"/>
        </w:rPr>
        <w:t>, as for any GM crop, will be driven by industry based on market preferences. Implicit in this will be a due regard to the cost of segregation.</w:t>
      </w:r>
    </w:p>
    <w:p w14:paraId="39F92089" w14:textId="77777777" w:rsidR="00C50C1C" w:rsidRPr="00801000" w:rsidRDefault="00C50C1C" w:rsidP="00C50C1C">
      <w:pPr>
        <w:widowControl/>
        <w:rPr>
          <w:color w:val="000000" w:themeColor="text1"/>
        </w:rPr>
      </w:pPr>
    </w:p>
    <w:p w14:paraId="256200B6" w14:textId="77777777" w:rsidR="00C50C1C" w:rsidRDefault="00C50C1C" w:rsidP="00C50C1C">
      <w:pPr>
        <w:widowControl/>
        <w:ind w:left="1418"/>
        <w:rPr>
          <w:color w:val="000000" w:themeColor="text1"/>
        </w:rPr>
      </w:pPr>
      <w:r w:rsidRPr="00801000">
        <w:rPr>
          <w:color w:val="000000" w:themeColor="text1"/>
        </w:rPr>
        <w:t xml:space="preserve">There may be additional costs to the food industry as food ingredients derived from </w:t>
      </w:r>
      <w:r>
        <w:rPr>
          <w:color w:val="000000" w:themeColor="text1"/>
        </w:rPr>
        <w:t>GR2E</w:t>
      </w:r>
      <w:r w:rsidRPr="00801000">
        <w:rPr>
          <w:color w:val="000000" w:themeColor="text1"/>
        </w:rPr>
        <w:t xml:space="preserve"> would require the ‘genetically modified’ labelling </w:t>
      </w:r>
      <w:r w:rsidRPr="006E4272">
        <w:rPr>
          <w:color w:val="000000" w:themeColor="text1"/>
        </w:rPr>
        <w:t xml:space="preserve">statement if they contain novel DNA, novel protein or </w:t>
      </w:r>
      <w:r w:rsidRPr="006E4272">
        <w:rPr>
          <w:rFonts w:cs="Arial"/>
          <w:color w:val="000000" w:themeColor="text1"/>
        </w:rPr>
        <w:t>β</w:t>
      </w:r>
      <w:r w:rsidRPr="006E4272">
        <w:rPr>
          <w:color w:val="000000" w:themeColor="text1"/>
        </w:rPr>
        <w:t>-carotene.</w:t>
      </w:r>
    </w:p>
    <w:p w14:paraId="02C31FE1" w14:textId="77777777" w:rsidR="000737BC" w:rsidRDefault="000737BC" w:rsidP="00C50C1C">
      <w:pPr>
        <w:widowControl/>
        <w:ind w:left="1418"/>
        <w:rPr>
          <w:color w:val="000000" w:themeColor="text1"/>
        </w:rPr>
      </w:pPr>
    </w:p>
    <w:p w14:paraId="12AA9A23" w14:textId="73C856B7" w:rsidR="000737BC" w:rsidRPr="003268C3" w:rsidRDefault="000737BC" w:rsidP="00C50C1C">
      <w:pPr>
        <w:widowControl/>
        <w:ind w:left="1418"/>
        <w:rPr>
          <w:color w:val="000000" w:themeColor="text1"/>
        </w:rPr>
      </w:pPr>
      <w:r w:rsidRPr="003268C3">
        <w:rPr>
          <w:color w:val="000000" w:themeColor="text1"/>
        </w:rPr>
        <w:t>Since the permission relates to rice derived from GR2E</w:t>
      </w:r>
      <w:r w:rsidR="002A4176">
        <w:rPr>
          <w:color w:val="000000" w:themeColor="text1"/>
        </w:rPr>
        <w:t xml:space="preserve"> and noting current OGTR or EPA requirements</w:t>
      </w:r>
      <w:r w:rsidRPr="003268C3">
        <w:rPr>
          <w:color w:val="000000" w:themeColor="text1"/>
        </w:rPr>
        <w:t xml:space="preserve">, this could </w:t>
      </w:r>
      <w:r w:rsidR="00D5506C" w:rsidRPr="003268C3">
        <w:rPr>
          <w:color w:val="000000" w:themeColor="text1"/>
        </w:rPr>
        <w:t xml:space="preserve">potentially </w:t>
      </w:r>
      <w:r w:rsidRPr="003268C3">
        <w:rPr>
          <w:color w:val="000000" w:themeColor="text1"/>
        </w:rPr>
        <w:t>include</w:t>
      </w:r>
      <w:r w:rsidR="00D5506C" w:rsidRPr="003268C3">
        <w:rPr>
          <w:color w:val="000000" w:themeColor="text1"/>
        </w:rPr>
        <w:t xml:space="preserve"> future</w:t>
      </w:r>
      <w:r w:rsidRPr="003268C3">
        <w:rPr>
          <w:color w:val="000000" w:themeColor="text1"/>
        </w:rPr>
        <w:t xml:space="preserve"> imports of </w:t>
      </w:r>
      <w:r w:rsidR="00D5506C" w:rsidRPr="003268C3">
        <w:rPr>
          <w:color w:val="000000" w:themeColor="text1"/>
        </w:rPr>
        <w:t xml:space="preserve">such </w:t>
      </w:r>
      <w:r w:rsidRPr="003268C3">
        <w:rPr>
          <w:color w:val="000000" w:themeColor="text1"/>
        </w:rPr>
        <w:t>milled rice</w:t>
      </w:r>
      <w:r w:rsidR="00D5506C" w:rsidRPr="003268C3">
        <w:rPr>
          <w:color w:val="000000" w:themeColor="text1"/>
        </w:rPr>
        <w:t xml:space="preserve"> grain</w:t>
      </w:r>
      <w:r w:rsidRPr="003268C3">
        <w:rPr>
          <w:color w:val="000000" w:themeColor="text1"/>
        </w:rPr>
        <w:t xml:space="preserve">, or </w:t>
      </w:r>
      <w:r w:rsidR="00C83073" w:rsidRPr="003268C3">
        <w:rPr>
          <w:color w:val="000000" w:themeColor="text1"/>
        </w:rPr>
        <w:t xml:space="preserve">food products made overseas containing </w:t>
      </w:r>
      <w:r w:rsidR="008F598F" w:rsidRPr="003268C3">
        <w:rPr>
          <w:color w:val="000000" w:themeColor="text1"/>
        </w:rPr>
        <w:t xml:space="preserve">this </w:t>
      </w:r>
      <w:r w:rsidRPr="003268C3">
        <w:rPr>
          <w:color w:val="000000" w:themeColor="text1"/>
        </w:rPr>
        <w:t>brown or milled rice</w:t>
      </w:r>
      <w:r w:rsidR="00D5506C" w:rsidRPr="003268C3">
        <w:rPr>
          <w:color w:val="000000" w:themeColor="text1"/>
        </w:rPr>
        <w:t>,</w:t>
      </w:r>
      <w:r w:rsidRPr="003268C3">
        <w:rPr>
          <w:color w:val="000000" w:themeColor="text1"/>
        </w:rPr>
        <w:t xml:space="preserve"> or </w:t>
      </w:r>
      <w:r w:rsidR="00C83073" w:rsidRPr="003268C3">
        <w:rPr>
          <w:color w:val="000000" w:themeColor="text1"/>
        </w:rPr>
        <w:t xml:space="preserve">domestic products containing </w:t>
      </w:r>
      <w:r w:rsidR="008F598F" w:rsidRPr="003268C3">
        <w:rPr>
          <w:color w:val="000000" w:themeColor="text1"/>
        </w:rPr>
        <w:t xml:space="preserve">imported </w:t>
      </w:r>
      <w:r w:rsidRPr="003268C3">
        <w:rPr>
          <w:color w:val="000000" w:themeColor="text1"/>
        </w:rPr>
        <w:t>milled rice</w:t>
      </w:r>
      <w:r w:rsidR="00D5506C" w:rsidRPr="003268C3">
        <w:rPr>
          <w:color w:val="000000" w:themeColor="text1"/>
        </w:rPr>
        <w:t>.</w:t>
      </w:r>
      <w:r w:rsidRPr="003268C3">
        <w:rPr>
          <w:color w:val="000000" w:themeColor="text1"/>
        </w:rPr>
        <w:t xml:space="preserve"> </w:t>
      </w:r>
    </w:p>
    <w:p w14:paraId="1E596137" w14:textId="77777777" w:rsidR="00C50C1C" w:rsidRPr="003268C3" w:rsidRDefault="00C50C1C" w:rsidP="00C50C1C">
      <w:pPr>
        <w:widowControl/>
        <w:ind w:left="1418"/>
        <w:rPr>
          <w:strike/>
          <w:color w:val="000000" w:themeColor="text1"/>
        </w:rPr>
      </w:pPr>
    </w:p>
    <w:p w14:paraId="3AC7036E" w14:textId="37BCF038" w:rsidR="003D5835" w:rsidRPr="003268C3" w:rsidRDefault="003D5835" w:rsidP="00BE3661">
      <w:pPr>
        <w:widowControl/>
        <w:ind w:left="1418" w:hanging="1418"/>
        <w:rPr>
          <w:color w:val="000000" w:themeColor="text1"/>
        </w:rPr>
      </w:pPr>
      <w:r w:rsidRPr="003268C3">
        <w:rPr>
          <w:i/>
          <w:color w:val="000000" w:themeColor="text1"/>
        </w:rPr>
        <w:t>Consumers:</w:t>
      </w:r>
      <w:r w:rsidRPr="003268C3">
        <w:rPr>
          <w:color w:val="000000" w:themeColor="text1"/>
        </w:rPr>
        <w:tab/>
      </w:r>
      <w:r w:rsidR="00C50C1C" w:rsidRPr="003268C3">
        <w:rPr>
          <w:color w:val="000000" w:themeColor="text1"/>
        </w:rPr>
        <w:t>Rice</w:t>
      </w:r>
      <w:r w:rsidRPr="003268C3">
        <w:rPr>
          <w:color w:val="000000" w:themeColor="text1"/>
        </w:rPr>
        <w:t xml:space="preserve"> </w:t>
      </w:r>
      <w:r w:rsidR="00C50C1C" w:rsidRPr="003268C3">
        <w:rPr>
          <w:color w:val="000000" w:themeColor="text1"/>
        </w:rPr>
        <w:t xml:space="preserve">derived from GR2E </w:t>
      </w:r>
      <w:r w:rsidRPr="003268C3">
        <w:rPr>
          <w:color w:val="000000" w:themeColor="text1"/>
        </w:rPr>
        <w:t xml:space="preserve">has been assessed as being as safe as food from conventional lines of </w:t>
      </w:r>
      <w:r w:rsidR="007A16CB" w:rsidRPr="003268C3">
        <w:rPr>
          <w:color w:val="000000" w:themeColor="text1"/>
        </w:rPr>
        <w:t>rice</w:t>
      </w:r>
      <w:r w:rsidRPr="003268C3">
        <w:rPr>
          <w:color w:val="000000" w:themeColor="text1"/>
        </w:rPr>
        <w:t>.</w:t>
      </w:r>
    </w:p>
    <w:p w14:paraId="7C864299" w14:textId="77777777" w:rsidR="003D5835" w:rsidRPr="003268C3" w:rsidRDefault="003D5835" w:rsidP="00BE3661">
      <w:pPr>
        <w:widowControl/>
        <w:rPr>
          <w:color w:val="000000" w:themeColor="text1"/>
        </w:rPr>
      </w:pPr>
    </w:p>
    <w:p w14:paraId="45B5F01A" w14:textId="57CD40EA" w:rsidR="003D5835" w:rsidRPr="003268C3" w:rsidRDefault="003D5835" w:rsidP="00BE3661">
      <w:pPr>
        <w:widowControl/>
        <w:ind w:left="1418"/>
        <w:rPr>
          <w:color w:val="000000" w:themeColor="text1"/>
        </w:rPr>
      </w:pPr>
      <w:r w:rsidRPr="003268C3">
        <w:rPr>
          <w:color w:val="000000" w:themeColor="text1"/>
        </w:rPr>
        <w:t xml:space="preserve">For GR2E </w:t>
      </w:r>
      <w:r w:rsidR="00C50C1C" w:rsidRPr="003268C3">
        <w:rPr>
          <w:color w:val="000000" w:themeColor="text1"/>
        </w:rPr>
        <w:t>rice</w:t>
      </w:r>
      <w:r w:rsidR="00D5506C" w:rsidRPr="003268C3">
        <w:rPr>
          <w:color w:val="000000" w:themeColor="text1"/>
        </w:rPr>
        <w:t xml:space="preserve"> grain or</w:t>
      </w:r>
      <w:r w:rsidRPr="003268C3">
        <w:rPr>
          <w:color w:val="000000" w:themeColor="text1"/>
        </w:rPr>
        <w:t xml:space="preserve"> products containing novel DNA</w:t>
      </w:r>
      <w:r w:rsidR="005C4019" w:rsidRPr="003268C3">
        <w:rPr>
          <w:color w:val="000000" w:themeColor="text1"/>
        </w:rPr>
        <w:t>,</w:t>
      </w:r>
      <w:r w:rsidRPr="003268C3">
        <w:rPr>
          <w:color w:val="000000" w:themeColor="text1"/>
        </w:rPr>
        <w:t xml:space="preserve"> novel protein</w:t>
      </w:r>
      <w:r w:rsidR="005C4019" w:rsidRPr="003268C3">
        <w:rPr>
          <w:color w:val="000000" w:themeColor="text1"/>
        </w:rPr>
        <w:t xml:space="preserve"> or </w:t>
      </w:r>
      <w:r w:rsidR="005C4019" w:rsidRPr="003268C3">
        <w:rPr>
          <w:rFonts w:cs="Arial"/>
          <w:color w:val="000000" w:themeColor="text1"/>
        </w:rPr>
        <w:t>β</w:t>
      </w:r>
      <w:r w:rsidR="005C4019" w:rsidRPr="003268C3">
        <w:rPr>
          <w:color w:val="000000" w:themeColor="text1"/>
        </w:rPr>
        <w:t>-carotene</w:t>
      </w:r>
      <w:r w:rsidRPr="003268C3">
        <w:rPr>
          <w:color w:val="000000" w:themeColor="text1"/>
        </w:rPr>
        <w:t>, labelling would allow consumers wishing to avoid these products to do so.</w:t>
      </w:r>
    </w:p>
    <w:p w14:paraId="0DDB84C7" w14:textId="77777777" w:rsidR="000E6BAE" w:rsidRPr="003268C3" w:rsidRDefault="000E6BAE" w:rsidP="00BE3661">
      <w:pPr>
        <w:widowControl/>
        <w:rPr>
          <w:color w:val="000000" w:themeColor="text1"/>
        </w:rPr>
      </w:pPr>
    </w:p>
    <w:p w14:paraId="0A45D88F" w14:textId="195B800E" w:rsidR="003D5835" w:rsidRPr="003268C3" w:rsidRDefault="003D5835" w:rsidP="00BE3661">
      <w:pPr>
        <w:widowControl/>
        <w:ind w:left="1418"/>
        <w:rPr>
          <w:color w:val="000000" w:themeColor="text1"/>
        </w:rPr>
      </w:pPr>
      <w:r w:rsidRPr="003268C3">
        <w:rPr>
          <w:color w:val="000000" w:themeColor="text1"/>
        </w:rPr>
        <w:lastRenderedPageBreak/>
        <w:t>If GR2E</w:t>
      </w:r>
      <w:r w:rsidR="00C50C1C" w:rsidRPr="003268C3">
        <w:rPr>
          <w:color w:val="000000" w:themeColor="text1"/>
        </w:rPr>
        <w:t xml:space="preserve"> rice</w:t>
      </w:r>
      <w:r w:rsidRPr="003268C3">
        <w:rPr>
          <w:color w:val="000000" w:themeColor="text1"/>
        </w:rPr>
        <w:t xml:space="preserve"> is approved for growing in overseas countries</w:t>
      </w:r>
      <w:r w:rsidR="00951F91" w:rsidRPr="003268C3">
        <w:rPr>
          <w:color w:val="000000" w:themeColor="text1"/>
        </w:rPr>
        <w:t>,</w:t>
      </w:r>
      <w:r w:rsidRPr="003268C3">
        <w:rPr>
          <w:color w:val="000000" w:themeColor="text1"/>
        </w:rPr>
        <w:t xml:space="preserve"> it could be used in the manufacture of products using </w:t>
      </w:r>
      <w:r w:rsidR="00C50C1C" w:rsidRPr="003268C3">
        <w:rPr>
          <w:color w:val="000000" w:themeColor="text1"/>
        </w:rPr>
        <w:t xml:space="preserve">this </w:t>
      </w:r>
      <w:r w:rsidR="00D5506C" w:rsidRPr="003268C3">
        <w:rPr>
          <w:color w:val="000000" w:themeColor="text1"/>
        </w:rPr>
        <w:t xml:space="preserve">co-mingled </w:t>
      </w:r>
      <w:r w:rsidRPr="003268C3">
        <w:rPr>
          <w:color w:val="000000" w:themeColor="text1"/>
        </w:rPr>
        <w:t>rice grain</w:t>
      </w:r>
      <w:r w:rsidR="00D5506C" w:rsidRPr="003268C3">
        <w:rPr>
          <w:color w:val="000000" w:themeColor="text1"/>
        </w:rPr>
        <w:t xml:space="preserve">. </w:t>
      </w:r>
      <w:r w:rsidRPr="003268C3">
        <w:rPr>
          <w:color w:val="000000" w:themeColor="text1"/>
        </w:rPr>
        <w:t>This means that there would be no cost involved in having to exclude GR2E grain from co-mingling and hence that there would be no consequential need to increase the prices of foods that are manufactured using co-mingled rice grain.</w:t>
      </w:r>
    </w:p>
    <w:p w14:paraId="7E7CEB4A" w14:textId="77777777" w:rsidR="00D5506C" w:rsidRPr="003268C3" w:rsidRDefault="00D5506C" w:rsidP="00BE3661">
      <w:pPr>
        <w:widowControl/>
        <w:ind w:left="1418"/>
        <w:rPr>
          <w:color w:val="000000" w:themeColor="text1"/>
        </w:rPr>
      </w:pPr>
    </w:p>
    <w:p w14:paraId="2984C001" w14:textId="6B59EC3A" w:rsidR="00D5506C" w:rsidRDefault="00D5506C" w:rsidP="00D5506C">
      <w:pPr>
        <w:widowControl/>
        <w:ind w:left="1418"/>
        <w:rPr>
          <w:color w:val="000000" w:themeColor="text1"/>
        </w:rPr>
      </w:pPr>
      <w:r w:rsidRPr="003268C3">
        <w:rPr>
          <w:color w:val="000000" w:themeColor="text1"/>
        </w:rPr>
        <w:t>Since the permission relates to rice derived from GR2E</w:t>
      </w:r>
      <w:r w:rsidR="002A4176">
        <w:rPr>
          <w:color w:val="000000" w:themeColor="text1"/>
        </w:rPr>
        <w:t xml:space="preserve"> and noting current OGTR or EPA requirements</w:t>
      </w:r>
      <w:r w:rsidRPr="003268C3">
        <w:rPr>
          <w:color w:val="000000" w:themeColor="text1"/>
        </w:rPr>
        <w:t xml:space="preserve">, consumers could potentially have access to future imports of such milled rice grain, </w:t>
      </w:r>
      <w:r w:rsidR="00C83073" w:rsidRPr="003268C3">
        <w:rPr>
          <w:color w:val="000000" w:themeColor="text1"/>
        </w:rPr>
        <w:t xml:space="preserve">food products containing </w:t>
      </w:r>
      <w:r w:rsidR="008F598F" w:rsidRPr="003268C3">
        <w:rPr>
          <w:color w:val="000000" w:themeColor="text1"/>
        </w:rPr>
        <w:t xml:space="preserve">this </w:t>
      </w:r>
      <w:r w:rsidRPr="003268C3">
        <w:rPr>
          <w:color w:val="000000" w:themeColor="text1"/>
        </w:rPr>
        <w:t xml:space="preserve">brown or milled rice made overseas, or </w:t>
      </w:r>
      <w:r w:rsidR="008F598F" w:rsidRPr="003268C3">
        <w:rPr>
          <w:color w:val="000000" w:themeColor="text1"/>
        </w:rPr>
        <w:t xml:space="preserve">domestically made </w:t>
      </w:r>
      <w:r w:rsidRPr="003268C3">
        <w:rPr>
          <w:color w:val="000000" w:themeColor="text1"/>
        </w:rPr>
        <w:t xml:space="preserve">products </w:t>
      </w:r>
      <w:r w:rsidR="00C83073" w:rsidRPr="003268C3">
        <w:rPr>
          <w:color w:val="000000" w:themeColor="text1"/>
        </w:rPr>
        <w:t xml:space="preserve">containing </w:t>
      </w:r>
      <w:r w:rsidR="008F598F" w:rsidRPr="003268C3">
        <w:rPr>
          <w:color w:val="000000" w:themeColor="text1"/>
        </w:rPr>
        <w:t xml:space="preserve">imported </w:t>
      </w:r>
      <w:r w:rsidR="00C83073" w:rsidRPr="003268C3">
        <w:rPr>
          <w:color w:val="000000" w:themeColor="text1"/>
        </w:rPr>
        <w:t>milled rice</w:t>
      </w:r>
      <w:r w:rsidRPr="003268C3">
        <w:rPr>
          <w:color w:val="000000" w:themeColor="text1"/>
        </w:rPr>
        <w:t>.</w:t>
      </w:r>
      <w:r>
        <w:rPr>
          <w:color w:val="000000" w:themeColor="text1"/>
        </w:rPr>
        <w:t xml:space="preserve"> </w:t>
      </w:r>
    </w:p>
    <w:p w14:paraId="34919109" w14:textId="77777777" w:rsidR="003D5835" w:rsidRPr="00801000" w:rsidRDefault="003D5835" w:rsidP="00BE3661">
      <w:pPr>
        <w:widowControl/>
        <w:ind w:left="1418" w:hanging="1418"/>
        <w:rPr>
          <w:color w:val="000000" w:themeColor="text1"/>
        </w:rPr>
      </w:pPr>
    </w:p>
    <w:p w14:paraId="4F75CAC1" w14:textId="77777777" w:rsidR="003D5835" w:rsidRPr="00801000" w:rsidRDefault="003D5835" w:rsidP="00BE3661">
      <w:pPr>
        <w:widowControl/>
        <w:ind w:left="1418" w:hanging="1418"/>
        <w:rPr>
          <w:color w:val="000000" w:themeColor="text1"/>
        </w:rPr>
      </w:pPr>
      <w:r w:rsidRPr="00801000">
        <w:rPr>
          <w:i/>
          <w:color w:val="000000" w:themeColor="text1"/>
        </w:rPr>
        <w:t>Government:</w:t>
      </w:r>
      <w:r w:rsidRPr="00801000">
        <w:rPr>
          <w:color w:val="000000" w:themeColor="text1"/>
        </w:rPr>
        <w:tab/>
      </w:r>
      <w:r w:rsidRPr="008827F0">
        <w:rPr>
          <w:color w:val="000000" w:themeColor="text1"/>
        </w:rPr>
        <w:t>Approval would avoid any conflict with WTO obligations.</w:t>
      </w:r>
      <w:r w:rsidRPr="00801000">
        <w:rPr>
          <w:color w:val="000000" w:themeColor="text1"/>
        </w:rPr>
        <w:t xml:space="preserve"> As mentioned above, food from </w:t>
      </w:r>
      <w:r>
        <w:rPr>
          <w:color w:val="000000" w:themeColor="text1"/>
        </w:rPr>
        <w:t>GR2E</w:t>
      </w:r>
      <w:r w:rsidRPr="00801000">
        <w:rPr>
          <w:color w:val="000000" w:themeColor="text1"/>
        </w:rPr>
        <w:t xml:space="preserve"> has been assessed as being as safe as food from </w:t>
      </w:r>
      <w:r>
        <w:rPr>
          <w:color w:val="000000" w:themeColor="text1"/>
        </w:rPr>
        <w:t>conventional lines of rice</w:t>
      </w:r>
      <w:r w:rsidRPr="00801000">
        <w:rPr>
          <w:color w:val="000000" w:themeColor="text1"/>
        </w:rPr>
        <w:t>.</w:t>
      </w:r>
    </w:p>
    <w:p w14:paraId="74F028B3" w14:textId="77777777" w:rsidR="003D5835" w:rsidRPr="00801000" w:rsidRDefault="003D5835" w:rsidP="00BE3661">
      <w:pPr>
        <w:widowControl/>
        <w:ind w:left="1418"/>
        <w:rPr>
          <w:color w:val="000000" w:themeColor="text1"/>
        </w:rPr>
      </w:pPr>
    </w:p>
    <w:p w14:paraId="5D77AD8D" w14:textId="77777777" w:rsidR="009928BD" w:rsidRDefault="003D5835" w:rsidP="00F02F41">
      <w:pPr>
        <w:widowControl/>
        <w:ind w:left="1418"/>
        <w:rPr>
          <w:color w:val="000000" w:themeColor="text1"/>
        </w:rPr>
      </w:pPr>
      <w:r w:rsidRPr="00801000">
        <w:rPr>
          <w:color w:val="000000" w:themeColor="text1"/>
        </w:rPr>
        <w:t xml:space="preserve">This option would be cost neutral in terms of compliance costs, as monitoring is required irrespective of whether or not a GM food is approved. </w:t>
      </w:r>
    </w:p>
    <w:p w14:paraId="575B41CE" w14:textId="3E49506C" w:rsidR="009928BD" w:rsidRDefault="009928BD">
      <w:pPr>
        <w:widowControl/>
        <w:rPr>
          <w:color w:val="000000" w:themeColor="text1"/>
        </w:rPr>
      </w:pPr>
    </w:p>
    <w:p w14:paraId="55AF325C" w14:textId="5349F57B" w:rsidR="003D5835" w:rsidRPr="00801000" w:rsidRDefault="003D5835" w:rsidP="00F02F41">
      <w:pPr>
        <w:widowControl/>
        <w:ind w:left="1418"/>
        <w:rPr>
          <w:color w:val="000000" w:themeColor="text1"/>
        </w:rPr>
      </w:pPr>
      <w:r w:rsidRPr="00801000">
        <w:rPr>
          <w:color w:val="000000" w:themeColor="text1"/>
        </w:rPr>
        <w:t>In the case of approved GM foods, monitoring is required to ensure compliance with the labelling requirements, and in the case of GM foods that have not been approved, monitoring is required to ensure they are not illeg</w:t>
      </w:r>
      <w:r w:rsidR="00F02F41">
        <w:rPr>
          <w:color w:val="000000" w:themeColor="text1"/>
        </w:rPr>
        <w:t xml:space="preserve">ally entering the food supply. </w:t>
      </w:r>
    </w:p>
    <w:p w14:paraId="793E1440" w14:textId="72493FD2" w:rsidR="003D5835" w:rsidRPr="00801000" w:rsidRDefault="003D5835" w:rsidP="00BE3661">
      <w:pPr>
        <w:pStyle w:val="Heading4"/>
        <w:widowControl/>
        <w:rPr>
          <w:b w:val="0"/>
          <w:color w:val="000000" w:themeColor="text1"/>
        </w:rPr>
      </w:pPr>
      <w:r w:rsidRPr="006E4272">
        <w:rPr>
          <w:b w:val="0"/>
          <w:color w:val="000000" w:themeColor="text1"/>
        </w:rPr>
        <w:t>Option 2 – Reject application</w:t>
      </w:r>
    </w:p>
    <w:p w14:paraId="64CA51CA" w14:textId="77777777" w:rsidR="005A5D42" w:rsidRDefault="005A5D42" w:rsidP="005A5D42">
      <w:pPr>
        <w:widowControl/>
        <w:ind w:left="1418" w:hanging="1418"/>
        <w:rPr>
          <w:color w:val="000000" w:themeColor="text1"/>
        </w:rPr>
      </w:pPr>
      <w:r w:rsidRPr="00801000">
        <w:rPr>
          <w:i/>
          <w:color w:val="000000" w:themeColor="text1"/>
        </w:rPr>
        <w:t>Industry:</w:t>
      </w:r>
      <w:r w:rsidRPr="00801000">
        <w:rPr>
          <w:color w:val="000000" w:themeColor="text1"/>
        </w:rPr>
        <w:t xml:space="preserve"> </w:t>
      </w:r>
      <w:r>
        <w:rPr>
          <w:color w:val="000000" w:themeColor="text1"/>
        </w:rPr>
        <w:tab/>
      </w:r>
      <w:r w:rsidRPr="00801000">
        <w:rPr>
          <w:color w:val="000000" w:themeColor="text1"/>
        </w:rPr>
        <w:t xml:space="preserve">Possible restriction on imports of </w:t>
      </w:r>
      <w:r>
        <w:rPr>
          <w:color w:val="000000" w:themeColor="text1"/>
        </w:rPr>
        <w:t>rice</w:t>
      </w:r>
      <w:r w:rsidRPr="00801000">
        <w:rPr>
          <w:color w:val="000000" w:themeColor="text1"/>
        </w:rPr>
        <w:t xml:space="preserve"> </w:t>
      </w:r>
      <w:r>
        <w:rPr>
          <w:color w:val="000000" w:themeColor="text1"/>
        </w:rPr>
        <w:t xml:space="preserve">grain and </w:t>
      </w:r>
      <w:r w:rsidRPr="00801000">
        <w:rPr>
          <w:color w:val="000000" w:themeColor="text1"/>
        </w:rPr>
        <w:t xml:space="preserve">products, if </w:t>
      </w:r>
      <w:r>
        <w:rPr>
          <w:color w:val="000000" w:themeColor="text1"/>
        </w:rPr>
        <w:t>GR2E were to be commercialised</w:t>
      </w:r>
      <w:r w:rsidRPr="00801000">
        <w:rPr>
          <w:color w:val="000000" w:themeColor="text1"/>
        </w:rPr>
        <w:t xml:space="preserve"> overseas.</w:t>
      </w:r>
    </w:p>
    <w:p w14:paraId="7DBB57D8" w14:textId="0F54A716" w:rsidR="00F02F41" w:rsidRDefault="00F02F41" w:rsidP="009928BD">
      <w:pPr>
        <w:widowControl/>
        <w:rPr>
          <w:i/>
          <w:color w:val="000000" w:themeColor="text1"/>
        </w:rPr>
      </w:pPr>
    </w:p>
    <w:p w14:paraId="368AA308" w14:textId="7DB0ABCA" w:rsidR="003D5835" w:rsidRPr="00801000" w:rsidRDefault="003D5835" w:rsidP="005A5D42">
      <w:pPr>
        <w:widowControl/>
        <w:ind w:left="1418" w:hanging="1418"/>
        <w:rPr>
          <w:color w:val="000000" w:themeColor="text1"/>
        </w:rPr>
      </w:pPr>
      <w:r w:rsidRPr="00801000">
        <w:rPr>
          <w:i/>
          <w:color w:val="000000" w:themeColor="text1"/>
        </w:rPr>
        <w:t>Consumers:</w:t>
      </w:r>
      <w:r w:rsidRPr="00801000">
        <w:rPr>
          <w:color w:val="000000" w:themeColor="text1"/>
        </w:rPr>
        <w:tab/>
      </w:r>
      <w:r w:rsidRPr="008827F0">
        <w:rPr>
          <w:color w:val="000000" w:themeColor="text1"/>
        </w:rPr>
        <w:t>Possible restriction in the ava</w:t>
      </w:r>
      <w:r w:rsidR="00B62BD6" w:rsidRPr="008827F0">
        <w:rPr>
          <w:color w:val="000000" w:themeColor="text1"/>
        </w:rPr>
        <w:t>ilability of imported rice</w:t>
      </w:r>
      <w:r w:rsidRPr="008827F0">
        <w:rPr>
          <w:color w:val="000000" w:themeColor="text1"/>
        </w:rPr>
        <w:t xml:space="preserve"> products which may be produced af</w:t>
      </w:r>
      <w:r w:rsidR="008827F0" w:rsidRPr="008827F0">
        <w:rPr>
          <w:color w:val="000000" w:themeColor="text1"/>
        </w:rPr>
        <w:t>ter inadvertent</w:t>
      </w:r>
      <w:r w:rsidR="00D5506C">
        <w:rPr>
          <w:color w:val="000000" w:themeColor="text1"/>
        </w:rPr>
        <w:t xml:space="preserve"> </w:t>
      </w:r>
      <w:r w:rsidR="008827F0" w:rsidRPr="008827F0">
        <w:rPr>
          <w:color w:val="000000" w:themeColor="text1"/>
        </w:rPr>
        <w:t>co-</w:t>
      </w:r>
      <w:r w:rsidR="00B62BD6" w:rsidRPr="008827F0">
        <w:rPr>
          <w:color w:val="000000" w:themeColor="text1"/>
        </w:rPr>
        <w:t>mingling of grain from GR2E.</w:t>
      </w:r>
      <w:r w:rsidR="00D5506C">
        <w:rPr>
          <w:color w:val="000000" w:themeColor="text1"/>
        </w:rPr>
        <w:t xml:space="preserve"> There would be n</w:t>
      </w:r>
      <w:r w:rsidRPr="00801000">
        <w:rPr>
          <w:color w:val="000000" w:themeColor="text1"/>
        </w:rPr>
        <w:t xml:space="preserve">o effect </w:t>
      </w:r>
      <w:r w:rsidR="00D5506C">
        <w:rPr>
          <w:color w:val="000000" w:themeColor="text1"/>
        </w:rPr>
        <w:t xml:space="preserve">for </w:t>
      </w:r>
      <w:r w:rsidRPr="00801000">
        <w:rPr>
          <w:color w:val="000000" w:themeColor="text1"/>
        </w:rPr>
        <w:t xml:space="preserve">consumers wishing to avoid GM foods, as food from </w:t>
      </w:r>
      <w:r w:rsidR="00B62BD6">
        <w:rPr>
          <w:color w:val="000000" w:themeColor="text1"/>
        </w:rPr>
        <w:t>GR2E</w:t>
      </w:r>
      <w:r w:rsidRPr="00801000">
        <w:rPr>
          <w:color w:val="000000" w:themeColor="text1"/>
        </w:rPr>
        <w:t xml:space="preserve"> is not currently permitted in the food supply. </w:t>
      </w:r>
    </w:p>
    <w:p w14:paraId="7F9D3102" w14:textId="77777777" w:rsidR="003D5835" w:rsidRPr="00801000" w:rsidRDefault="003D5835" w:rsidP="00BE3661">
      <w:pPr>
        <w:widowControl/>
        <w:ind w:left="1418"/>
        <w:rPr>
          <w:color w:val="000000" w:themeColor="text1"/>
        </w:rPr>
      </w:pPr>
    </w:p>
    <w:p w14:paraId="4C6E2864" w14:textId="53E37B0D" w:rsidR="003D5835" w:rsidRPr="00801000" w:rsidRDefault="00D5506C" w:rsidP="00BE3661">
      <w:pPr>
        <w:widowControl/>
        <w:ind w:left="1418"/>
        <w:rPr>
          <w:color w:val="000000" w:themeColor="text1"/>
        </w:rPr>
      </w:pPr>
      <w:r>
        <w:rPr>
          <w:color w:val="000000" w:themeColor="text1"/>
        </w:rPr>
        <w:t>A p</w:t>
      </w:r>
      <w:r w:rsidR="003D5835" w:rsidRPr="00801000">
        <w:rPr>
          <w:color w:val="000000" w:themeColor="text1"/>
        </w:rPr>
        <w:t>otential increase</w:t>
      </w:r>
      <w:r w:rsidR="00B62BD6">
        <w:rPr>
          <w:color w:val="000000" w:themeColor="text1"/>
        </w:rPr>
        <w:t xml:space="preserve"> in price of imported rice</w:t>
      </w:r>
      <w:r w:rsidR="003D5835" w:rsidRPr="00801000">
        <w:rPr>
          <w:color w:val="000000" w:themeColor="text1"/>
        </w:rPr>
        <w:t xml:space="preserve"> food products </w:t>
      </w:r>
      <w:r>
        <w:rPr>
          <w:color w:val="000000" w:themeColor="text1"/>
        </w:rPr>
        <w:t xml:space="preserve">could occur </w:t>
      </w:r>
      <w:r w:rsidR="003D5835" w:rsidRPr="00801000">
        <w:rPr>
          <w:color w:val="000000" w:themeColor="text1"/>
        </w:rPr>
        <w:t>due to requirement for segrega</w:t>
      </w:r>
      <w:r w:rsidR="00B62BD6">
        <w:rPr>
          <w:color w:val="000000" w:themeColor="text1"/>
        </w:rPr>
        <w:t>tion of GR2E grain</w:t>
      </w:r>
      <w:r w:rsidR="003D5835" w:rsidRPr="00801000">
        <w:rPr>
          <w:color w:val="000000" w:themeColor="text1"/>
        </w:rPr>
        <w:t>.</w:t>
      </w:r>
    </w:p>
    <w:p w14:paraId="3910582C" w14:textId="77777777" w:rsidR="003D5835" w:rsidRPr="00801000" w:rsidRDefault="003D5835" w:rsidP="00BE3661">
      <w:pPr>
        <w:widowControl/>
        <w:ind w:left="1418"/>
        <w:rPr>
          <w:color w:val="000000" w:themeColor="text1"/>
        </w:rPr>
      </w:pPr>
    </w:p>
    <w:p w14:paraId="431373A4" w14:textId="0CAADA37" w:rsidR="003D5835" w:rsidRPr="00801000" w:rsidRDefault="003D5835" w:rsidP="00BE3661">
      <w:pPr>
        <w:widowControl/>
        <w:ind w:left="1418" w:hanging="1418"/>
        <w:rPr>
          <w:color w:val="000000" w:themeColor="text1"/>
        </w:rPr>
      </w:pPr>
      <w:r w:rsidRPr="00801000">
        <w:rPr>
          <w:i/>
          <w:color w:val="000000" w:themeColor="text1"/>
        </w:rPr>
        <w:t>Government:</w:t>
      </w:r>
      <w:r w:rsidRPr="00801000">
        <w:rPr>
          <w:color w:val="000000" w:themeColor="text1"/>
        </w:rPr>
        <w:tab/>
        <w:t xml:space="preserve">Potential effect if considered inconsistent with WTO obligations but this would be in terms of trade policy rather than </w:t>
      </w:r>
      <w:r w:rsidR="00D5506C">
        <w:rPr>
          <w:color w:val="000000" w:themeColor="text1"/>
        </w:rPr>
        <w:t>for</w:t>
      </w:r>
      <w:r w:rsidRPr="00801000">
        <w:rPr>
          <w:color w:val="000000" w:themeColor="text1"/>
        </w:rPr>
        <w:t xml:space="preserve"> government revenue.</w:t>
      </w:r>
    </w:p>
    <w:p w14:paraId="1D312F49" w14:textId="77777777" w:rsidR="003D5835" w:rsidRPr="00801000" w:rsidRDefault="003D5835" w:rsidP="00BE3661">
      <w:pPr>
        <w:widowControl/>
        <w:rPr>
          <w:color w:val="000000" w:themeColor="text1"/>
        </w:rPr>
      </w:pPr>
    </w:p>
    <w:p w14:paraId="18F12217" w14:textId="3A6BE5D8" w:rsidR="003D5835" w:rsidRPr="00801000" w:rsidRDefault="003D5835" w:rsidP="00BE3661">
      <w:pPr>
        <w:widowControl/>
        <w:rPr>
          <w:color w:val="000000" w:themeColor="text1"/>
        </w:rPr>
      </w:pPr>
      <w:r w:rsidRPr="00801000">
        <w:rPr>
          <w:color w:val="000000" w:themeColor="text1"/>
        </w:rPr>
        <w:t xml:space="preserve">As </w:t>
      </w:r>
      <w:r w:rsidR="00D5506C">
        <w:rPr>
          <w:color w:val="000000" w:themeColor="text1"/>
        </w:rPr>
        <w:t>rice</w:t>
      </w:r>
      <w:r w:rsidRPr="00801000">
        <w:rPr>
          <w:color w:val="000000" w:themeColor="text1"/>
        </w:rPr>
        <w:t xml:space="preserve"> from </w:t>
      </w:r>
      <w:r w:rsidR="00B62BD6">
        <w:rPr>
          <w:color w:val="000000" w:themeColor="text1"/>
        </w:rPr>
        <w:t>GR2E</w:t>
      </w:r>
      <w:r w:rsidRPr="00801000">
        <w:rPr>
          <w:color w:val="000000" w:themeColor="text1"/>
        </w:rPr>
        <w:t xml:space="preserve"> has been found to be as safe as food from c</w:t>
      </w:r>
      <w:r w:rsidR="00B62BD6">
        <w:rPr>
          <w:color w:val="000000" w:themeColor="text1"/>
        </w:rPr>
        <w:t>onventional lines of rice</w:t>
      </w:r>
      <w:r w:rsidRPr="00801000">
        <w:rPr>
          <w:color w:val="000000" w:themeColor="text1"/>
        </w:rPr>
        <w:t xml:space="preserve">, not preparing a draft variation </w:t>
      </w:r>
      <w:r>
        <w:rPr>
          <w:color w:val="000000" w:themeColor="text1"/>
        </w:rPr>
        <w:t>offers</w:t>
      </w:r>
      <w:r w:rsidRPr="00801000">
        <w:rPr>
          <w:color w:val="000000" w:themeColor="text1"/>
        </w:rPr>
        <w:t xml:space="preserve"> little benefit to consumers, as approval of </w:t>
      </w:r>
      <w:r w:rsidR="00B62BD6">
        <w:rPr>
          <w:color w:val="000000" w:themeColor="text1"/>
        </w:rPr>
        <w:t>GR2E</w:t>
      </w:r>
      <w:r w:rsidRPr="00801000">
        <w:rPr>
          <w:color w:val="000000" w:themeColor="text1"/>
        </w:rPr>
        <w:t xml:space="preserve"> by other countries</w:t>
      </w:r>
      <w:r w:rsidR="00F02F41">
        <w:rPr>
          <w:color w:val="000000" w:themeColor="text1"/>
        </w:rPr>
        <w:t xml:space="preserve"> (in the event this should occur)</w:t>
      </w:r>
      <w:r w:rsidRPr="00801000">
        <w:rPr>
          <w:color w:val="000000" w:themeColor="text1"/>
        </w:rPr>
        <w:t xml:space="preserve"> could limit the</w:t>
      </w:r>
      <w:r w:rsidR="00B62BD6">
        <w:rPr>
          <w:color w:val="000000" w:themeColor="text1"/>
        </w:rPr>
        <w:t xml:space="preserve"> availability of imported rice</w:t>
      </w:r>
      <w:r w:rsidRPr="00801000">
        <w:rPr>
          <w:color w:val="000000" w:themeColor="text1"/>
        </w:rPr>
        <w:t xml:space="preserve"> products in the Australian and New Zealand markets.</w:t>
      </w:r>
      <w:r w:rsidR="00C83073">
        <w:rPr>
          <w:color w:val="000000" w:themeColor="text1"/>
        </w:rPr>
        <w:t xml:space="preserve"> </w:t>
      </w:r>
      <w:r w:rsidRPr="00801000">
        <w:rPr>
          <w:color w:val="000000" w:themeColor="text1"/>
        </w:rPr>
        <w:t xml:space="preserve">FSANZ has decided to prepare a draft variation to Schedule 26 because the potential benefits of approving the variation outweigh the potential costs, and because no public health or safety concerns resulting from consumption of food derived from </w:t>
      </w:r>
      <w:r w:rsidR="00B62BD6">
        <w:rPr>
          <w:color w:val="000000" w:themeColor="text1"/>
        </w:rPr>
        <w:t>GR2E</w:t>
      </w:r>
      <w:r w:rsidRPr="00801000">
        <w:rPr>
          <w:color w:val="000000" w:themeColor="text1"/>
        </w:rPr>
        <w:t xml:space="preserve"> were identified in the safety assessment.</w:t>
      </w:r>
    </w:p>
    <w:p w14:paraId="75B58CA4" w14:textId="77777777" w:rsidR="00726C2F" w:rsidRDefault="00B62BD6" w:rsidP="00BE3661">
      <w:pPr>
        <w:pStyle w:val="Heading4"/>
        <w:widowControl/>
      </w:pPr>
      <w:r>
        <w:t>2.4</w:t>
      </w:r>
      <w:r w:rsidR="00726C2F">
        <w:t>.1.2</w:t>
      </w:r>
      <w:r w:rsidR="00726C2F">
        <w:tab/>
        <w:t>Other measures</w:t>
      </w:r>
    </w:p>
    <w:p w14:paraId="50E169EF" w14:textId="77777777" w:rsidR="00B62BD6" w:rsidRPr="00317CA0" w:rsidRDefault="00B62BD6" w:rsidP="00BE3661">
      <w:pPr>
        <w:widowControl/>
        <w:rPr>
          <w:color w:val="000000" w:themeColor="text1"/>
        </w:rPr>
      </w:pPr>
      <w:r w:rsidRPr="00317CA0">
        <w:rPr>
          <w:color w:val="000000" w:themeColor="text1"/>
        </w:rPr>
        <w:t>There are no other measures (whether available to FSANZ or not) that would be more cost-effective than a food</w:t>
      </w:r>
      <w:r>
        <w:rPr>
          <w:color w:val="000000" w:themeColor="text1"/>
        </w:rPr>
        <w:t xml:space="preserve"> regulatory measure varied as a result of</w:t>
      </w:r>
      <w:r w:rsidRPr="00317CA0">
        <w:rPr>
          <w:color w:val="000000" w:themeColor="text1"/>
        </w:rPr>
        <w:t xml:space="preserve"> </w:t>
      </w:r>
      <w:r>
        <w:rPr>
          <w:color w:val="000000" w:themeColor="text1"/>
        </w:rPr>
        <w:t>Application A1138</w:t>
      </w:r>
      <w:r w:rsidRPr="00317CA0">
        <w:rPr>
          <w:color w:val="000000" w:themeColor="text1"/>
        </w:rPr>
        <w:t>.</w:t>
      </w:r>
    </w:p>
    <w:p w14:paraId="72A9E77D" w14:textId="77777777" w:rsidR="00726C2F" w:rsidRDefault="00B62BD6" w:rsidP="00BE3661">
      <w:pPr>
        <w:pStyle w:val="Heading4"/>
        <w:widowControl/>
      </w:pPr>
      <w:r>
        <w:t>2.4</w:t>
      </w:r>
      <w:r w:rsidR="008B0075">
        <w:t>.1.3</w:t>
      </w:r>
      <w:r w:rsidR="008B0075">
        <w:tab/>
        <w:t>A</w:t>
      </w:r>
      <w:r w:rsidR="00726C2F" w:rsidRPr="00914030">
        <w:t>ny relevant New Zealand standards</w:t>
      </w:r>
    </w:p>
    <w:p w14:paraId="7B22954D" w14:textId="3732C454" w:rsidR="00B62BD6" w:rsidRDefault="006B5691" w:rsidP="00BE3661">
      <w:pPr>
        <w:widowControl/>
        <w:rPr>
          <w:lang w:bidi="ar-SA"/>
        </w:rPr>
      </w:pPr>
      <w:r>
        <w:rPr>
          <w:lang w:bidi="ar-SA"/>
        </w:rPr>
        <w:t xml:space="preserve">Standard 1.5.2 and </w:t>
      </w:r>
      <w:r w:rsidR="00B62BD6">
        <w:rPr>
          <w:lang w:bidi="ar-SA"/>
        </w:rPr>
        <w:t xml:space="preserve">Schedule 26 </w:t>
      </w:r>
      <w:r>
        <w:rPr>
          <w:lang w:bidi="ar-SA"/>
        </w:rPr>
        <w:t>also apply</w:t>
      </w:r>
      <w:r w:rsidR="00B62BD6">
        <w:rPr>
          <w:lang w:bidi="ar-SA"/>
        </w:rPr>
        <w:t xml:space="preserve"> in New Zealand.</w:t>
      </w:r>
    </w:p>
    <w:p w14:paraId="78C6A494" w14:textId="77777777" w:rsidR="00726C2F" w:rsidRPr="00914030" w:rsidRDefault="00B62BD6" w:rsidP="00BE3661">
      <w:pPr>
        <w:pStyle w:val="Heading4"/>
        <w:widowControl/>
      </w:pPr>
      <w:r>
        <w:lastRenderedPageBreak/>
        <w:t>2.4</w:t>
      </w:r>
      <w:r w:rsidR="00BE3818">
        <w:t>.1.4</w:t>
      </w:r>
      <w:r w:rsidR="00BE3818">
        <w:tab/>
      </w:r>
      <w:r w:rsidR="0027513D">
        <w:t>A</w:t>
      </w:r>
      <w:r w:rsidR="00BE3818">
        <w:t>ny other relevant matters</w:t>
      </w:r>
    </w:p>
    <w:p w14:paraId="77A4BA79" w14:textId="1A073F8C" w:rsidR="00B62BD6" w:rsidRPr="00DA1ABB" w:rsidRDefault="00B62BD6" w:rsidP="00BE3661">
      <w:pPr>
        <w:widowControl/>
        <w:rPr>
          <w:color w:val="000000" w:themeColor="text1"/>
        </w:rPr>
      </w:pPr>
      <w:bookmarkStart w:id="59" w:name="_Toc300761897"/>
      <w:bookmarkStart w:id="60" w:name="_Toc300933440"/>
      <w:r w:rsidRPr="00DA1ABB">
        <w:rPr>
          <w:color w:val="000000" w:themeColor="text1"/>
        </w:rPr>
        <w:t>The Applicant has submitted application</w:t>
      </w:r>
      <w:r>
        <w:rPr>
          <w:color w:val="000000" w:themeColor="text1"/>
        </w:rPr>
        <w:t>s for regulatory approval of GR2E</w:t>
      </w:r>
      <w:r w:rsidRPr="00DA1ABB">
        <w:rPr>
          <w:color w:val="000000" w:themeColor="text1"/>
        </w:rPr>
        <w:t xml:space="preserve"> to a number of other countries, as listed</w:t>
      </w:r>
      <w:r w:rsidR="006B5691">
        <w:rPr>
          <w:color w:val="000000" w:themeColor="text1"/>
        </w:rPr>
        <w:t xml:space="preserve"> in Table 2</w:t>
      </w:r>
      <w:r w:rsidRPr="00DA1ABB">
        <w:rPr>
          <w:color w:val="000000" w:themeColor="text1"/>
        </w:rPr>
        <w:t>.</w:t>
      </w:r>
    </w:p>
    <w:p w14:paraId="0592A5C7" w14:textId="77777777" w:rsidR="00B62BD6" w:rsidRDefault="00B62BD6" w:rsidP="00BE3661">
      <w:pPr>
        <w:widowControl/>
      </w:pPr>
    </w:p>
    <w:p w14:paraId="65EE7378" w14:textId="3E81F88E" w:rsidR="00B62BD6" w:rsidRPr="007F70E1" w:rsidRDefault="006B5691" w:rsidP="00F5657B">
      <w:pPr>
        <w:pStyle w:val="FSTableTitle"/>
        <w:rPr>
          <w:color w:val="FFFFFF" w:themeColor="background1"/>
        </w:rPr>
      </w:pPr>
      <w:r>
        <w:t>Table 2</w:t>
      </w:r>
      <w:r w:rsidR="00B62BD6" w:rsidRPr="003F4AF2">
        <w:t>: List of countries to wh</w:t>
      </w:r>
      <w:r w:rsidR="00BE3661">
        <w:t>ich</w:t>
      </w:r>
      <w:r w:rsidR="00B62BD6" w:rsidRPr="003F4AF2">
        <w:t xml:space="preserve"> applications</w:t>
      </w:r>
      <w:r w:rsidR="00C56DA7" w:rsidRPr="003F4AF2">
        <w:t xml:space="preserve"> for regulatory approval of GR2E</w:t>
      </w:r>
      <w:r w:rsidR="00B62BD6" w:rsidRPr="003F4AF2">
        <w:t xml:space="preserve"> have been submitted</w:t>
      </w:r>
    </w:p>
    <w:tbl>
      <w:tblPr>
        <w:tblW w:w="91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9"/>
        <w:gridCol w:w="3470"/>
        <w:gridCol w:w="1959"/>
        <w:gridCol w:w="2365"/>
      </w:tblGrid>
      <w:tr w:rsidR="007F70E1" w:rsidRPr="007F70E1" w14:paraId="27AB1581" w14:textId="77777777" w:rsidTr="007F70E1">
        <w:trPr>
          <w:trHeight w:val="327"/>
          <w:tblHeader/>
        </w:trPr>
        <w:tc>
          <w:tcPr>
            <w:tcW w:w="1399" w:type="dxa"/>
            <w:shd w:val="clear" w:color="auto" w:fill="9BBB59" w:themeFill="accent3"/>
            <w:noWrap/>
            <w:tcMar>
              <w:top w:w="0" w:type="dxa"/>
              <w:left w:w="108" w:type="dxa"/>
              <w:bottom w:w="0" w:type="dxa"/>
              <w:right w:w="108" w:type="dxa"/>
            </w:tcMar>
            <w:vAlign w:val="center"/>
            <w:hideMark/>
          </w:tcPr>
          <w:p w14:paraId="07D0BAEF" w14:textId="77777777" w:rsidR="00B62BD6" w:rsidRPr="007F70E1" w:rsidRDefault="00B62BD6" w:rsidP="00BE3661">
            <w:pPr>
              <w:widowControl/>
              <w:jc w:val="center"/>
              <w:rPr>
                <w:color w:val="FFFFFF" w:themeColor="background1"/>
              </w:rPr>
            </w:pPr>
            <w:r w:rsidRPr="007F70E1">
              <w:rPr>
                <w:b/>
                <w:bCs/>
                <w:color w:val="FFFFFF" w:themeColor="background1"/>
              </w:rPr>
              <w:t>Country</w:t>
            </w:r>
          </w:p>
        </w:tc>
        <w:tc>
          <w:tcPr>
            <w:tcW w:w="3470" w:type="dxa"/>
            <w:shd w:val="clear" w:color="auto" w:fill="9BBB59" w:themeFill="accent3"/>
            <w:noWrap/>
            <w:tcMar>
              <w:top w:w="0" w:type="dxa"/>
              <w:left w:w="108" w:type="dxa"/>
              <w:bottom w:w="0" w:type="dxa"/>
              <w:right w:w="108" w:type="dxa"/>
            </w:tcMar>
            <w:vAlign w:val="center"/>
            <w:hideMark/>
          </w:tcPr>
          <w:p w14:paraId="6DA00B5C" w14:textId="77777777" w:rsidR="00B62BD6" w:rsidRPr="007F70E1" w:rsidRDefault="00B62BD6" w:rsidP="00BE3661">
            <w:pPr>
              <w:widowControl/>
              <w:jc w:val="center"/>
              <w:rPr>
                <w:color w:val="FFFFFF" w:themeColor="background1"/>
              </w:rPr>
            </w:pPr>
            <w:r w:rsidRPr="007F70E1">
              <w:rPr>
                <w:b/>
                <w:bCs/>
                <w:color w:val="FFFFFF" w:themeColor="background1"/>
              </w:rPr>
              <w:t>Agency</w:t>
            </w:r>
          </w:p>
        </w:tc>
        <w:tc>
          <w:tcPr>
            <w:tcW w:w="1959" w:type="dxa"/>
            <w:shd w:val="clear" w:color="auto" w:fill="9BBB59" w:themeFill="accent3"/>
            <w:vAlign w:val="center"/>
            <w:hideMark/>
          </w:tcPr>
          <w:p w14:paraId="2FE0AC87" w14:textId="77777777" w:rsidR="00B62BD6" w:rsidRPr="007F70E1" w:rsidRDefault="00B62BD6" w:rsidP="00BE3661">
            <w:pPr>
              <w:widowControl/>
              <w:jc w:val="center"/>
              <w:rPr>
                <w:b/>
                <w:bCs/>
                <w:color w:val="FFFFFF" w:themeColor="background1"/>
              </w:rPr>
            </w:pPr>
            <w:r w:rsidRPr="007F70E1">
              <w:rPr>
                <w:b/>
                <w:bCs/>
                <w:color w:val="FFFFFF" w:themeColor="background1"/>
              </w:rPr>
              <w:t>Type of approval sought</w:t>
            </w:r>
          </w:p>
        </w:tc>
        <w:tc>
          <w:tcPr>
            <w:tcW w:w="2365" w:type="dxa"/>
            <w:shd w:val="clear" w:color="auto" w:fill="9BBB59" w:themeFill="accent3"/>
            <w:vAlign w:val="center"/>
          </w:tcPr>
          <w:p w14:paraId="5947844B" w14:textId="77777777" w:rsidR="00B62BD6" w:rsidRPr="007F70E1" w:rsidRDefault="00B62BD6" w:rsidP="00BE3661">
            <w:pPr>
              <w:widowControl/>
              <w:jc w:val="center"/>
              <w:rPr>
                <w:b/>
                <w:bCs/>
                <w:color w:val="FFFFFF" w:themeColor="background1"/>
              </w:rPr>
            </w:pPr>
            <w:r w:rsidRPr="007F70E1">
              <w:rPr>
                <w:b/>
                <w:bCs/>
                <w:color w:val="FFFFFF" w:themeColor="background1"/>
              </w:rPr>
              <w:t>Status</w:t>
            </w:r>
          </w:p>
        </w:tc>
      </w:tr>
      <w:tr w:rsidR="00C56DA7" w:rsidRPr="007F70E1" w14:paraId="2153B45F" w14:textId="77777777" w:rsidTr="007F70E1">
        <w:trPr>
          <w:trHeight w:val="555"/>
        </w:trPr>
        <w:tc>
          <w:tcPr>
            <w:tcW w:w="1399" w:type="dxa"/>
            <w:shd w:val="clear" w:color="auto" w:fill="EAF1DD" w:themeFill="accent3" w:themeFillTint="33"/>
            <w:vAlign w:val="center"/>
            <w:hideMark/>
          </w:tcPr>
          <w:p w14:paraId="6964AAAF" w14:textId="77777777" w:rsidR="00C56DA7" w:rsidRPr="007F70E1" w:rsidRDefault="00C56DA7" w:rsidP="00BE3661">
            <w:pPr>
              <w:widowControl/>
              <w:jc w:val="center"/>
              <w:rPr>
                <w:sz w:val="20"/>
                <w:szCs w:val="20"/>
              </w:rPr>
            </w:pPr>
            <w:r w:rsidRPr="007F70E1">
              <w:rPr>
                <w:sz w:val="20"/>
                <w:szCs w:val="20"/>
              </w:rPr>
              <w:t>USA</w:t>
            </w:r>
          </w:p>
        </w:tc>
        <w:tc>
          <w:tcPr>
            <w:tcW w:w="3470" w:type="dxa"/>
            <w:shd w:val="clear" w:color="auto" w:fill="EAF1DD" w:themeFill="accent3" w:themeFillTint="33"/>
            <w:tcMar>
              <w:top w:w="0" w:type="dxa"/>
              <w:left w:w="108" w:type="dxa"/>
              <w:bottom w:w="0" w:type="dxa"/>
              <w:right w:w="108" w:type="dxa"/>
            </w:tcMar>
            <w:vAlign w:val="center"/>
          </w:tcPr>
          <w:p w14:paraId="55F4FDF3" w14:textId="77777777" w:rsidR="00C56DA7" w:rsidRPr="007F70E1" w:rsidRDefault="00C56DA7" w:rsidP="00BE3661">
            <w:pPr>
              <w:widowControl/>
              <w:rPr>
                <w:sz w:val="20"/>
                <w:szCs w:val="20"/>
              </w:rPr>
            </w:pPr>
            <w:r w:rsidRPr="007F70E1">
              <w:rPr>
                <w:sz w:val="20"/>
                <w:szCs w:val="20"/>
              </w:rPr>
              <w:t>Food &amp; Drug Administration (FDA)</w:t>
            </w:r>
          </w:p>
        </w:tc>
        <w:tc>
          <w:tcPr>
            <w:tcW w:w="1959" w:type="dxa"/>
            <w:shd w:val="clear" w:color="auto" w:fill="EAF1DD" w:themeFill="accent3" w:themeFillTint="33"/>
            <w:vAlign w:val="center"/>
          </w:tcPr>
          <w:p w14:paraId="32BF2F37" w14:textId="77777777" w:rsidR="00C56DA7" w:rsidRPr="007F70E1" w:rsidRDefault="00C56DA7" w:rsidP="00BE3661">
            <w:pPr>
              <w:widowControl/>
              <w:jc w:val="center"/>
              <w:rPr>
                <w:sz w:val="20"/>
                <w:szCs w:val="20"/>
                <w:vertAlign w:val="superscript"/>
              </w:rPr>
            </w:pPr>
            <w:r w:rsidRPr="007F70E1">
              <w:rPr>
                <w:sz w:val="20"/>
                <w:szCs w:val="20"/>
              </w:rPr>
              <w:t>food &amp; feed</w:t>
            </w:r>
          </w:p>
        </w:tc>
        <w:tc>
          <w:tcPr>
            <w:tcW w:w="2365" w:type="dxa"/>
            <w:shd w:val="clear" w:color="auto" w:fill="EAF1DD" w:themeFill="accent3" w:themeFillTint="33"/>
            <w:vAlign w:val="center"/>
          </w:tcPr>
          <w:p w14:paraId="6B8325F2" w14:textId="14C9C91F" w:rsidR="00C56DA7" w:rsidRPr="007F70E1" w:rsidRDefault="007F70E1" w:rsidP="00BE3661">
            <w:pPr>
              <w:widowControl/>
              <w:jc w:val="center"/>
              <w:rPr>
                <w:sz w:val="20"/>
                <w:szCs w:val="20"/>
              </w:rPr>
            </w:pPr>
            <w:r w:rsidRPr="007F70E1">
              <w:rPr>
                <w:sz w:val="20"/>
                <w:szCs w:val="20"/>
              </w:rPr>
              <w:t>Under assessment</w:t>
            </w:r>
          </w:p>
        </w:tc>
      </w:tr>
      <w:tr w:rsidR="00C56DA7" w:rsidRPr="007F70E1" w14:paraId="1BE2E416" w14:textId="77777777" w:rsidTr="007F70E1">
        <w:trPr>
          <w:trHeight w:val="538"/>
        </w:trPr>
        <w:tc>
          <w:tcPr>
            <w:tcW w:w="1399" w:type="dxa"/>
            <w:vAlign w:val="center"/>
            <w:hideMark/>
          </w:tcPr>
          <w:p w14:paraId="233B52F1" w14:textId="77777777" w:rsidR="00C56DA7" w:rsidRPr="007F70E1" w:rsidRDefault="00C56DA7" w:rsidP="00BE3661">
            <w:pPr>
              <w:widowControl/>
              <w:jc w:val="center"/>
              <w:rPr>
                <w:sz w:val="20"/>
                <w:szCs w:val="20"/>
              </w:rPr>
            </w:pPr>
            <w:r w:rsidRPr="007F70E1">
              <w:rPr>
                <w:sz w:val="20"/>
                <w:szCs w:val="20"/>
              </w:rPr>
              <w:t>Canada</w:t>
            </w:r>
          </w:p>
        </w:tc>
        <w:tc>
          <w:tcPr>
            <w:tcW w:w="3470" w:type="dxa"/>
            <w:tcMar>
              <w:top w:w="0" w:type="dxa"/>
              <w:left w:w="108" w:type="dxa"/>
              <w:bottom w:w="0" w:type="dxa"/>
              <w:right w:w="108" w:type="dxa"/>
            </w:tcMar>
            <w:vAlign w:val="center"/>
          </w:tcPr>
          <w:p w14:paraId="35E9A465" w14:textId="77777777" w:rsidR="00C56DA7" w:rsidRPr="007F70E1" w:rsidRDefault="00C56DA7" w:rsidP="00BE3661">
            <w:pPr>
              <w:widowControl/>
              <w:rPr>
                <w:sz w:val="20"/>
                <w:szCs w:val="20"/>
              </w:rPr>
            </w:pPr>
            <w:r w:rsidRPr="007F70E1">
              <w:rPr>
                <w:sz w:val="20"/>
                <w:szCs w:val="20"/>
              </w:rPr>
              <w:t xml:space="preserve">Health Canada </w:t>
            </w:r>
          </w:p>
        </w:tc>
        <w:tc>
          <w:tcPr>
            <w:tcW w:w="1959" w:type="dxa"/>
            <w:vAlign w:val="center"/>
          </w:tcPr>
          <w:p w14:paraId="5F547D0C" w14:textId="77777777" w:rsidR="00C56DA7" w:rsidRPr="007F70E1" w:rsidRDefault="00C56DA7" w:rsidP="00BE3661">
            <w:pPr>
              <w:widowControl/>
              <w:jc w:val="center"/>
              <w:rPr>
                <w:sz w:val="20"/>
                <w:szCs w:val="20"/>
              </w:rPr>
            </w:pPr>
            <w:r w:rsidRPr="007F70E1">
              <w:rPr>
                <w:sz w:val="20"/>
                <w:szCs w:val="20"/>
              </w:rPr>
              <w:t>food</w:t>
            </w:r>
          </w:p>
        </w:tc>
        <w:tc>
          <w:tcPr>
            <w:tcW w:w="2365" w:type="dxa"/>
            <w:tcBorders>
              <w:bottom w:val="single" w:sz="4" w:space="0" w:color="auto"/>
            </w:tcBorders>
            <w:vAlign w:val="center"/>
          </w:tcPr>
          <w:p w14:paraId="474E24B4" w14:textId="77777777" w:rsidR="00C56DA7" w:rsidRPr="007F70E1" w:rsidRDefault="00C56DA7" w:rsidP="00BE3661">
            <w:pPr>
              <w:widowControl/>
              <w:jc w:val="center"/>
              <w:rPr>
                <w:sz w:val="20"/>
                <w:szCs w:val="20"/>
              </w:rPr>
            </w:pPr>
            <w:r w:rsidRPr="007F70E1">
              <w:rPr>
                <w:sz w:val="20"/>
                <w:szCs w:val="20"/>
              </w:rPr>
              <w:t>Under assessment</w:t>
            </w:r>
          </w:p>
        </w:tc>
      </w:tr>
      <w:tr w:rsidR="00B62BD6" w:rsidRPr="007F70E1" w14:paraId="36611626" w14:textId="77777777" w:rsidTr="007F70E1">
        <w:trPr>
          <w:trHeight w:val="506"/>
        </w:trPr>
        <w:tc>
          <w:tcPr>
            <w:tcW w:w="1399" w:type="dxa"/>
            <w:shd w:val="clear" w:color="auto" w:fill="EAF1DD" w:themeFill="accent3" w:themeFillTint="33"/>
            <w:tcMar>
              <w:top w:w="0" w:type="dxa"/>
              <w:left w:w="108" w:type="dxa"/>
              <w:bottom w:w="0" w:type="dxa"/>
              <w:right w:w="108" w:type="dxa"/>
            </w:tcMar>
            <w:vAlign w:val="center"/>
          </w:tcPr>
          <w:p w14:paraId="37BFB894" w14:textId="395AE3D1" w:rsidR="00B62BD6" w:rsidRPr="007F70E1" w:rsidRDefault="007F70E1" w:rsidP="00BE3661">
            <w:pPr>
              <w:widowControl/>
              <w:jc w:val="center"/>
              <w:rPr>
                <w:sz w:val="20"/>
                <w:szCs w:val="20"/>
              </w:rPr>
            </w:pPr>
            <w:r>
              <w:rPr>
                <w:sz w:val="20"/>
                <w:szCs w:val="20"/>
              </w:rPr>
              <w:t>Philippines</w:t>
            </w:r>
          </w:p>
        </w:tc>
        <w:tc>
          <w:tcPr>
            <w:tcW w:w="3470" w:type="dxa"/>
            <w:shd w:val="clear" w:color="auto" w:fill="EAF1DD" w:themeFill="accent3" w:themeFillTint="33"/>
            <w:tcMar>
              <w:top w:w="0" w:type="dxa"/>
              <w:left w:w="108" w:type="dxa"/>
              <w:bottom w:w="0" w:type="dxa"/>
              <w:right w:w="108" w:type="dxa"/>
            </w:tcMar>
            <w:vAlign w:val="center"/>
          </w:tcPr>
          <w:p w14:paraId="5118DD35" w14:textId="50D98FEB" w:rsidR="00B62BD6" w:rsidRPr="007F70E1" w:rsidRDefault="007F70E1" w:rsidP="00BE3661">
            <w:pPr>
              <w:widowControl/>
              <w:rPr>
                <w:sz w:val="20"/>
                <w:szCs w:val="20"/>
              </w:rPr>
            </w:pPr>
            <w:r>
              <w:rPr>
                <w:sz w:val="20"/>
                <w:szCs w:val="20"/>
              </w:rPr>
              <w:t>Department of Agriculture, Bureau of Plant Industry</w:t>
            </w:r>
          </w:p>
        </w:tc>
        <w:tc>
          <w:tcPr>
            <w:tcW w:w="1959" w:type="dxa"/>
            <w:shd w:val="clear" w:color="auto" w:fill="EAF1DD" w:themeFill="accent3" w:themeFillTint="33"/>
            <w:vAlign w:val="center"/>
          </w:tcPr>
          <w:p w14:paraId="41EB2181" w14:textId="4980EDBE" w:rsidR="00B62BD6" w:rsidRPr="007F70E1" w:rsidRDefault="007F70E1" w:rsidP="00BE3661">
            <w:pPr>
              <w:widowControl/>
              <w:jc w:val="center"/>
              <w:rPr>
                <w:sz w:val="20"/>
                <w:szCs w:val="20"/>
              </w:rPr>
            </w:pPr>
            <w:r>
              <w:rPr>
                <w:sz w:val="20"/>
                <w:szCs w:val="20"/>
              </w:rPr>
              <w:t>food,</w:t>
            </w:r>
            <w:r w:rsidR="00D1444D">
              <w:rPr>
                <w:sz w:val="20"/>
                <w:szCs w:val="20"/>
              </w:rPr>
              <w:t xml:space="preserve"> feed, processing</w:t>
            </w:r>
          </w:p>
        </w:tc>
        <w:tc>
          <w:tcPr>
            <w:tcW w:w="2365" w:type="dxa"/>
            <w:shd w:val="clear" w:color="auto" w:fill="EAF1DD" w:themeFill="accent3" w:themeFillTint="33"/>
            <w:vAlign w:val="center"/>
          </w:tcPr>
          <w:p w14:paraId="7471373D" w14:textId="54EE7F2E" w:rsidR="00B62BD6" w:rsidRPr="007F70E1" w:rsidRDefault="007F70E1" w:rsidP="00BE3661">
            <w:pPr>
              <w:widowControl/>
              <w:jc w:val="center"/>
              <w:rPr>
                <w:sz w:val="20"/>
                <w:szCs w:val="20"/>
              </w:rPr>
            </w:pPr>
            <w:r>
              <w:rPr>
                <w:sz w:val="20"/>
                <w:szCs w:val="20"/>
              </w:rPr>
              <w:t>U</w:t>
            </w:r>
            <w:r w:rsidR="00D1444D">
              <w:rPr>
                <w:sz w:val="20"/>
                <w:szCs w:val="20"/>
              </w:rPr>
              <w:t>nder assess</w:t>
            </w:r>
            <w:r>
              <w:rPr>
                <w:sz w:val="20"/>
                <w:szCs w:val="20"/>
              </w:rPr>
              <w:t>ment</w:t>
            </w:r>
          </w:p>
        </w:tc>
      </w:tr>
    </w:tbl>
    <w:p w14:paraId="07B3E185" w14:textId="562DF437" w:rsidR="00022DBC" w:rsidRPr="00914030" w:rsidRDefault="00BE3818" w:rsidP="00BE3661">
      <w:pPr>
        <w:pStyle w:val="Heading3"/>
        <w:widowControl/>
      </w:pPr>
      <w:bookmarkStart w:id="61" w:name="_Toc488316693"/>
      <w:r>
        <w:t>2.</w:t>
      </w:r>
      <w:r w:rsidR="00612E38">
        <w:t>4</w:t>
      </w:r>
      <w:r>
        <w:t>.</w:t>
      </w:r>
      <w:r w:rsidR="00612E38">
        <w:t>2</w:t>
      </w:r>
      <w:r w:rsidR="00022DBC" w:rsidRPr="00914030">
        <w:tab/>
      </w:r>
      <w:r>
        <w:t>Subsection 18(1)</w:t>
      </w:r>
      <w:bookmarkEnd w:id="61"/>
      <w:r>
        <w:t xml:space="preserve"> </w:t>
      </w:r>
      <w:bookmarkEnd w:id="59"/>
      <w:bookmarkEnd w:id="60"/>
    </w:p>
    <w:p w14:paraId="25927993" w14:textId="49E75525" w:rsidR="00DE4B31" w:rsidRDefault="00022DBC">
      <w:pPr>
        <w:widowControl/>
        <w:rPr>
          <w:b/>
          <w:bCs/>
          <w:i/>
          <w:iCs/>
          <w:szCs w:val="22"/>
          <w:lang w:eastAsia="en-AU" w:bidi="ar-SA"/>
        </w:rPr>
      </w:pPr>
      <w:r w:rsidRPr="00914030">
        <w:rPr>
          <w:rFonts w:cs="Arial"/>
        </w:rPr>
        <w:t xml:space="preserve">FSANZ has also </w:t>
      </w:r>
      <w:r w:rsidRPr="00914030">
        <w:t xml:space="preserve">considered the three objectives in subsection 18(1) of the </w:t>
      </w:r>
      <w:r>
        <w:t>FSANZ Act during the assessment.</w:t>
      </w:r>
      <w:bookmarkStart w:id="62" w:name="_Toc297029117"/>
      <w:bookmarkStart w:id="63" w:name="_Toc300761898"/>
      <w:bookmarkStart w:id="64" w:name="_Toc300933441"/>
    </w:p>
    <w:p w14:paraId="08274DB2" w14:textId="585D6A35" w:rsidR="00022DBC" w:rsidRPr="00914030" w:rsidRDefault="00BE3818" w:rsidP="00C83073">
      <w:pPr>
        <w:pStyle w:val="Heading4"/>
        <w:keepNext w:val="0"/>
        <w:widowControl/>
        <w:rPr>
          <w:lang w:eastAsia="en-AU"/>
        </w:rPr>
      </w:pPr>
      <w:r>
        <w:rPr>
          <w:lang w:eastAsia="en-AU"/>
        </w:rPr>
        <w:t>2.</w:t>
      </w:r>
      <w:r w:rsidR="00612E38">
        <w:rPr>
          <w:lang w:eastAsia="en-AU"/>
        </w:rPr>
        <w:t>4</w:t>
      </w:r>
      <w:r>
        <w:rPr>
          <w:lang w:eastAsia="en-AU"/>
        </w:rPr>
        <w:t>.</w:t>
      </w:r>
      <w:r w:rsidR="00612E38">
        <w:rPr>
          <w:lang w:eastAsia="en-AU"/>
        </w:rPr>
        <w:t>2</w:t>
      </w:r>
      <w:r w:rsidR="00022DBC" w:rsidRPr="00914030">
        <w:rPr>
          <w:lang w:eastAsia="en-AU"/>
        </w:rPr>
        <w:t>.1</w:t>
      </w:r>
      <w:r w:rsidR="00022DBC" w:rsidRPr="00914030">
        <w:rPr>
          <w:lang w:eastAsia="en-AU"/>
        </w:rPr>
        <w:tab/>
        <w:t>Protection of public health and safety</w:t>
      </w:r>
      <w:bookmarkEnd w:id="62"/>
      <w:bookmarkEnd w:id="63"/>
      <w:bookmarkEnd w:id="64"/>
    </w:p>
    <w:p w14:paraId="66DC56E4" w14:textId="4DE02744" w:rsidR="003F4AF2" w:rsidRDefault="00C83073" w:rsidP="00C83073">
      <w:pPr>
        <w:widowControl/>
        <w:rPr>
          <w:color w:val="000000" w:themeColor="text1"/>
        </w:rPr>
      </w:pPr>
      <w:bookmarkStart w:id="65" w:name="_Toc300761899"/>
      <w:bookmarkStart w:id="66" w:name="_Toc300933442"/>
      <w:r>
        <w:rPr>
          <w:color w:val="000000" w:themeColor="text1"/>
        </w:rPr>
        <w:t>Rice</w:t>
      </w:r>
      <w:r w:rsidR="003F4AF2">
        <w:rPr>
          <w:color w:val="000000" w:themeColor="text1"/>
        </w:rPr>
        <w:t xml:space="preserve"> derived from GR2E has been assessed based on</w:t>
      </w:r>
      <w:r w:rsidR="003F4AF2" w:rsidRPr="00DA1ABB">
        <w:rPr>
          <w:color w:val="000000" w:themeColor="text1"/>
        </w:rPr>
        <w:t xml:space="preserve"> the </w:t>
      </w:r>
      <w:r w:rsidR="003F4AF2">
        <w:rPr>
          <w:color w:val="000000" w:themeColor="text1"/>
        </w:rPr>
        <w:t xml:space="preserve">data requirements </w:t>
      </w:r>
      <w:r w:rsidR="00F02F41">
        <w:rPr>
          <w:color w:val="000000" w:themeColor="text1"/>
        </w:rPr>
        <w:t xml:space="preserve">for GM foods </w:t>
      </w:r>
      <w:r w:rsidR="003F4AF2">
        <w:rPr>
          <w:color w:val="000000" w:themeColor="text1"/>
        </w:rPr>
        <w:t xml:space="preserve">provided in the FSANZ </w:t>
      </w:r>
      <w:hyperlink r:id="rId27" w:history="1">
        <w:r w:rsidR="003F4AF2" w:rsidRPr="00E70572">
          <w:rPr>
            <w:rStyle w:val="Hyperlink"/>
            <w:i/>
          </w:rPr>
          <w:t>Application Handbook</w:t>
        </w:r>
      </w:hyperlink>
      <w:r w:rsidR="003F4AF2">
        <w:rPr>
          <w:rStyle w:val="FootnoteReference"/>
          <w:i/>
          <w:color w:val="000000" w:themeColor="text1"/>
        </w:rPr>
        <w:footnoteReference w:id="9"/>
      </w:r>
      <w:r w:rsidR="003F4AF2">
        <w:rPr>
          <w:color w:val="000000" w:themeColor="text1"/>
        </w:rPr>
        <w:t xml:space="preserve"> which, in turn reflect internationally-accepted GM food safety assessment guidelines.</w:t>
      </w:r>
      <w:r w:rsidR="003F4AF2" w:rsidRPr="00DA1ABB">
        <w:rPr>
          <w:color w:val="000000" w:themeColor="text1"/>
        </w:rPr>
        <w:t xml:space="preserve"> No public health and safety concerns were identified in this assessment. Based on the available evidence, including detailed studies provided by the </w:t>
      </w:r>
      <w:r w:rsidR="003F4AF2">
        <w:rPr>
          <w:color w:val="000000" w:themeColor="text1"/>
        </w:rPr>
        <w:t>Applicant, food derived from GR2E</w:t>
      </w:r>
      <w:r w:rsidR="003F4AF2" w:rsidRPr="00DA1ABB">
        <w:rPr>
          <w:color w:val="000000" w:themeColor="text1"/>
        </w:rPr>
        <w:t xml:space="preserve"> is considered </w:t>
      </w:r>
      <w:r w:rsidR="00F02F41">
        <w:rPr>
          <w:color w:val="000000" w:themeColor="text1"/>
        </w:rPr>
        <w:t xml:space="preserve">to be </w:t>
      </w:r>
      <w:r w:rsidR="003F4AF2" w:rsidRPr="00DA1ABB">
        <w:rPr>
          <w:color w:val="000000" w:themeColor="text1"/>
        </w:rPr>
        <w:t xml:space="preserve">as safe and wholesome as food derived from other commercial </w:t>
      </w:r>
      <w:r w:rsidR="003F4AF2">
        <w:rPr>
          <w:color w:val="000000" w:themeColor="text1"/>
        </w:rPr>
        <w:t>rice lines</w:t>
      </w:r>
      <w:r w:rsidR="003F4AF2" w:rsidRPr="00DA1ABB">
        <w:rPr>
          <w:color w:val="000000" w:themeColor="text1"/>
        </w:rPr>
        <w:t>.</w:t>
      </w:r>
    </w:p>
    <w:p w14:paraId="2168D5D6" w14:textId="77777777" w:rsidR="00F02F41" w:rsidRDefault="00F02F41" w:rsidP="00C83073">
      <w:pPr>
        <w:widowControl/>
        <w:rPr>
          <w:color w:val="000000" w:themeColor="text1"/>
        </w:rPr>
      </w:pPr>
    </w:p>
    <w:p w14:paraId="78B69770" w14:textId="2EE11EF7" w:rsidR="00F02F41" w:rsidRPr="00DA1ABB" w:rsidRDefault="00F02F41" w:rsidP="00C83073">
      <w:pPr>
        <w:widowControl/>
        <w:rPr>
          <w:color w:val="000000" w:themeColor="text1"/>
        </w:rPr>
      </w:pPr>
      <w:r>
        <w:rPr>
          <w:color w:val="000000" w:themeColor="text1"/>
        </w:rPr>
        <w:t xml:space="preserve">A nutrition assessment specifically considering intake of </w:t>
      </w:r>
      <w:r>
        <w:rPr>
          <w:rFonts w:cs="Arial"/>
          <w:color w:val="000000" w:themeColor="text1"/>
        </w:rPr>
        <w:t>β</w:t>
      </w:r>
      <w:r>
        <w:rPr>
          <w:color w:val="000000" w:themeColor="text1"/>
        </w:rPr>
        <w:t xml:space="preserve">-carotene </w:t>
      </w:r>
      <w:r>
        <w:rPr>
          <w:rFonts w:ascii="CharterBT-Roman" w:hAnsi="CharterBT-Roman" w:cs="CharterBT-Roman"/>
          <w:szCs w:val="22"/>
          <w:lang w:eastAsia="en-GB" w:bidi="ar-SA"/>
        </w:rPr>
        <w:t xml:space="preserve">concluded that GR2E rice consumption </w:t>
      </w:r>
      <w:r w:rsidRPr="00A9147E">
        <w:rPr>
          <w:rFonts w:ascii="CharterBT-Roman" w:hAnsi="CharterBT-Roman" w:cs="CharterBT-Roman"/>
          <w:szCs w:val="22"/>
          <w:lang w:eastAsia="en-GB" w:bidi="ar-SA"/>
        </w:rPr>
        <w:t xml:space="preserve">will </w:t>
      </w:r>
      <w:r>
        <w:rPr>
          <w:rFonts w:ascii="CharterBT-Roman" w:hAnsi="CharterBT-Roman" w:cs="CharterBT-Roman"/>
          <w:szCs w:val="22"/>
          <w:lang w:eastAsia="en-GB" w:bidi="ar-SA"/>
        </w:rPr>
        <w:t xml:space="preserve">not </w:t>
      </w:r>
      <w:r w:rsidRPr="00A9147E">
        <w:rPr>
          <w:rFonts w:ascii="CharterBT-Roman" w:hAnsi="CharterBT-Roman" w:cs="CharterBT-Roman"/>
          <w:szCs w:val="22"/>
          <w:lang w:eastAsia="en-GB" w:bidi="ar-SA"/>
        </w:rPr>
        <w:t xml:space="preserve">pose a </w:t>
      </w:r>
      <w:r>
        <w:rPr>
          <w:rFonts w:ascii="CharterBT-Roman" w:hAnsi="CharterBT-Roman" w:cs="CharterBT-Roman"/>
          <w:szCs w:val="22"/>
          <w:lang w:eastAsia="en-GB" w:bidi="ar-SA"/>
        </w:rPr>
        <w:t xml:space="preserve">nutritional </w:t>
      </w:r>
      <w:r w:rsidRPr="00A9147E">
        <w:rPr>
          <w:rFonts w:ascii="CharterBT-Roman" w:hAnsi="CharterBT-Roman" w:cs="CharterBT-Roman"/>
          <w:szCs w:val="22"/>
          <w:lang w:eastAsia="en-GB" w:bidi="ar-SA"/>
        </w:rPr>
        <w:t>risk to the Australian and New Zealand population.</w:t>
      </w:r>
    </w:p>
    <w:p w14:paraId="2DFE4FA2" w14:textId="355E2755" w:rsidR="00022DBC" w:rsidRPr="00914030" w:rsidRDefault="00BE3818" w:rsidP="00C83073">
      <w:pPr>
        <w:pStyle w:val="Heading4"/>
        <w:keepNext w:val="0"/>
        <w:widowControl/>
        <w:rPr>
          <w:lang w:eastAsia="en-AU"/>
        </w:rPr>
      </w:pPr>
      <w:r>
        <w:rPr>
          <w:lang w:eastAsia="en-AU"/>
        </w:rPr>
        <w:t>2.</w:t>
      </w:r>
      <w:r w:rsidR="00612E38">
        <w:rPr>
          <w:lang w:eastAsia="en-AU"/>
        </w:rPr>
        <w:t>4.2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5"/>
      <w:bookmarkEnd w:id="66"/>
    </w:p>
    <w:p w14:paraId="1041B56C" w14:textId="51962C0F" w:rsidR="003F4AF2" w:rsidRPr="00DA1ABB" w:rsidRDefault="003F4AF2" w:rsidP="00C83073">
      <w:pPr>
        <w:widowControl/>
        <w:rPr>
          <w:b/>
          <w:bCs/>
          <w:color w:val="000000" w:themeColor="text1"/>
        </w:rPr>
      </w:pPr>
      <w:bookmarkStart w:id="67" w:name="_Toc300761900"/>
      <w:bookmarkStart w:id="68" w:name="_Toc300933443"/>
      <w:r w:rsidRPr="00DA1ABB">
        <w:rPr>
          <w:color w:val="000000" w:themeColor="text1"/>
        </w:rPr>
        <w:t>In accordance with existing labelling provisions to enable informed consum</w:t>
      </w:r>
      <w:r>
        <w:rPr>
          <w:color w:val="000000" w:themeColor="text1"/>
        </w:rPr>
        <w:t>er choice, food derived from GR2E</w:t>
      </w:r>
      <w:r w:rsidRPr="00DA1ABB">
        <w:rPr>
          <w:color w:val="000000" w:themeColor="text1"/>
        </w:rPr>
        <w:t xml:space="preserve"> would have to be labelled as ‘genetically modified’ if it contains novel </w:t>
      </w:r>
      <w:r w:rsidRPr="006E4272">
        <w:rPr>
          <w:color w:val="000000" w:themeColor="text1"/>
        </w:rPr>
        <w:t>DNA</w:t>
      </w:r>
      <w:r w:rsidR="00722F1E" w:rsidRPr="006E4272">
        <w:rPr>
          <w:color w:val="000000" w:themeColor="text1"/>
        </w:rPr>
        <w:t>,</w:t>
      </w:r>
      <w:r w:rsidRPr="006E4272">
        <w:rPr>
          <w:color w:val="000000" w:themeColor="text1"/>
        </w:rPr>
        <w:t xml:space="preserve"> novel protein</w:t>
      </w:r>
      <w:r w:rsidR="00722F1E" w:rsidRPr="006E4272">
        <w:rPr>
          <w:color w:val="000000" w:themeColor="text1"/>
        </w:rPr>
        <w:t xml:space="preserve"> or </w:t>
      </w:r>
      <w:r w:rsidR="00722F1E" w:rsidRPr="006E4272">
        <w:rPr>
          <w:rFonts w:cs="Arial"/>
          <w:color w:val="000000" w:themeColor="text1"/>
        </w:rPr>
        <w:t>β</w:t>
      </w:r>
      <w:r w:rsidR="00722F1E" w:rsidRPr="006E4272">
        <w:rPr>
          <w:color w:val="000000" w:themeColor="text1"/>
        </w:rPr>
        <w:t>-carotene</w:t>
      </w:r>
      <w:r w:rsidRPr="008827F0">
        <w:rPr>
          <w:color w:val="000000" w:themeColor="text1"/>
        </w:rPr>
        <w:t xml:space="preserve"> </w:t>
      </w:r>
      <w:r w:rsidRPr="00CB2DF9">
        <w:t xml:space="preserve">(see </w:t>
      </w:r>
      <w:r w:rsidR="008827F0" w:rsidRPr="00CB2DF9">
        <w:t>section 2.2.</w:t>
      </w:r>
      <w:r w:rsidR="00CB2DF9" w:rsidRPr="00CB2DF9">
        <w:t>1</w:t>
      </w:r>
      <w:r w:rsidRPr="00CB2DF9">
        <w:t xml:space="preserve">). </w:t>
      </w:r>
    </w:p>
    <w:p w14:paraId="43D9B338" w14:textId="79EE4B58" w:rsidR="00022DBC" w:rsidRPr="00914030" w:rsidRDefault="00BE3818" w:rsidP="00C83073">
      <w:pPr>
        <w:pStyle w:val="Heading4"/>
        <w:keepNext w:val="0"/>
        <w:widowControl/>
        <w:rPr>
          <w:lang w:eastAsia="en-AU"/>
        </w:rPr>
      </w:pPr>
      <w:r>
        <w:rPr>
          <w:lang w:eastAsia="en-AU"/>
        </w:rPr>
        <w:t>2.</w:t>
      </w:r>
      <w:r w:rsidR="00B2461D">
        <w:rPr>
          <w:lang w:eastAsia="en-AU"/>
        </w:rPr>
        <w:t>4</w:t>
      </w:r>
      <w:r>
        <w:rPr>
          <w:lang w:eastAsia="en-AU"/>
        </w:rPr>
        <w:t>.</w:t>
      </w:r>
      <w:r w:rsidR="00B2461D">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7"/>
      <w:bookmarkEnd w:id="68"/>
    </w:p>
    <w:p w14:paraId="11BD5406" w14:textId="7AA570DD" w:rsidR="003F4AF2" w:rsidRPr="00DA1ABB" w:rsidRDefault="003F4AF2" w:rsidP="00C83073">
      <w:pPr>
        <w:widowControl/>
        <w:rPr>
          <w:color w:val="000000" w:themeColor="text1"/>
        </w:rPr>
      </w:pPr>
      <w:bookmarkStart w:id="69" w:name="_Toc300761901"/>
      <w:bookmarkStart w:id="70" w:name="_Toc300933444"/>
      <w:r w:rsidRPr="00DA1ABB">
        <w:rPr>
          <w:color w:val="000000" w:themeColor="text1"/>
        </w:rPr>
        <w:t xml:space="preserve">The provision of </w:t>
      </w:r>
      <w:r w:rsidR="00B85EDE">
        <w:rPr>
          <w:color w:val="000000" w:themeColor="text1"/>
        </w:rPr>
        <w:t>an event-specific detection method</w:t>
      </w:r>
      <w:r w:rsidRPr="00DA1ABB">
        <w:rPr>
          <w:color w:val="000000" w:themeColor="text1"/>
        </w:rPr>
        <w:t xml:space="preserve"> by the Applicant </w:t>
      </w:r>
      <w:r w:rsidR="00B85EDE">
        <w:rPr>
          <w:color w:val="000000" w:themeColor="text1"/>
        </w:rPr>
        <w:t xml:space="preserve">will permit the detection of food derived from GR2E </w:t>
      </w:r>
      <w:r w:rsidRPr="00DA1ABB">
        <w:rPr>
          <w:color w:val="000000" w:themeColor="text1"/>
        </w:rPr>
        <w:t>(</w:t>
      </w:r>
      <w:r w:rsidRPr="008827F0">
        <w:rPr>
          <w:color w:val="000000" w:themeColor="text1"/>
        </w:rPr>
        <w:t xml:space="preserve">see </w:t>
      </w:r>
      <w:r w:rsidR="008827F0">
        <w:rPr>
          <w:color w:val="000000" w:themeColor="text1"/>
        </w:rPr>
        <w:t>s</w:t>
      </w:r>
      <w:r w:rsidR="008827F0" w:rsidRPr="008827F0">
        <w:rPr>
          <w:color w:val="000000" w:themeColor="text1"/>
        </w:rPr>
        <w:t>ection 2.2.</w:t>
      </w:r>
      <w:r w:rsidR="00F5657B">
        <w:rPr>
          <w:color w:val="000000" w:themeColor="text1"/>
        </w:rPr>
        <w:t>2</w:t>
      </w:r>
      <w:r w:rsidR="00B85EDE">
        <w:rPr>
          <w:color w:val="000000" w:themeColor="text1"/>
        </w:rPr>
        <w:t>).</w:t>
      </w:r>
    </w:p>
    <w:p w14:paraId="1582CEA1" w14:textId="77777777" w:rsidR="0098234A" w:rsidRDefault="0098234A">
      <w:pPr>
        <w:widowControl/>
        <w:rPr>
          <w:b/>
          <w:bCs/>
          <w:color w:val="000000" w:themeColor="text1"/>
          <w:lang w:eastAsia="en-AU" w:bidi="ar-SA"/>
        </w:rPr>
      </w:pPr>
      <w:bookmarkStart w:id="71" w:name="_Toc488316694"/>
      <w:r>
        <w:br w:type="page"/>
      </w:r>
    </w:p>
    <w:p w14:paraId="274D1424" w14:textId="33566C3A" w:rsidR="00022DBC" w:rsidRPr="00914030" w:rsidRDefault="00B51E03" w:rsidP="00C83073">
      <w:pPr>
        <w:pStyle w:val="Heading3"/>
        <w:keepNext w:val="0"/>
        <w:widowControl/>
      </w:pPr>
      <w:r>
        <w:lastRenderedPageBreak/>
        <w:t>2.</w:t>
      </w:r>
      <w:r w:rsidR="00B2461D">
        <w:t>4</w:t>
      </w:r>
      <w:r>
        <w:t>.</w:t>
      </w:r>
      <w:r w:rsidR="00B2461D">
        <w:t>3</w:t>
      </w:r>
      <w:r w:rsidR="00022DBC" w:rsidRPr="00914030">
        <w:tab/>
        <w:t xml:space="preserve">Subsection 18(2) </w:t>
      </w:r>
      <w:bookmarkEnd w:id="69"/>
      <w:bookmarkEnd w:id="70"/>
      <w:r w:rsidR="00022DBC" w:rsidRPr="00914030">
        <w:t>considerations</w:t>
      </w:r>
      <w:bookmarkEnd w:id="71"/>
    </w:p>
    <w:p w14:paraId="530A7820" w14:textId="77777777" w:rsidR="00022DBC" w:rsidRPr="00914030" w:rsidRDefault="00022DBC" w:rsidP="00C83073">
      <w:pPr>
        <w:widowControl/>
        <w:rPr>
          <w:rFonts w:cs="Arial"/>
        </w:rPr>
      </w:pPr>
      <w:r w:rsidRPr="00914030">
        <w:rPr>
          <w:rFonts w:cs="Arial"/>
        </w:rPr>
        <w:t>FSANZ has also had regard to:</w:t>
      </w:r>
    </w:p>
    <w:p w14:paraId="53AF55AA" w14:textId="77777777" w:rsidR="00022DBC" w:rsidRPr="00914030" w:rsidRDefault="00022DBC" w:rsidP="00BE3661">
      <w:pPr>
        <w:widowControl/>
        <w:rPr>
          <w:rFonts w:cs="Arial"/>
        </w:rPr>
      </w:pPr>
    </w:p>
    <w:p w14:paraId="08764622" w14:textId="77777777" w:rsidR="00022DBC" w:rsidRPr="008828D9" w:rsidRDefault="00022DBC" w:rsidP="00BE3661">
      <w:pPr>
        <w:pStyle w:val="FSBullet1"/>
        <w:rPr>
          <w:b/>
        </w:rPr>
      </w:pPr>
      <w:r w:rsidRPr="008828D9">
        <w:rPr>
          <w:b/>
        </w:rPr>
        <w:t>the need for standards to be based on risk analysis using the best available scientific evidence</w:t>
      </w:r>
    </w:p>
    <w:p w14:paraId="3C6D44FE" w14:textId="77777777" w:rsidR="008828D9" w:rsidRDefault="008828D9" w:rsidP="00BE3661">
      <w:pPr>
        <w:widowControl/>
        <w:rPr>
          <w:lang w:bidi="ar-SA"/>
        </w:rPr>
      </w:pPr>
    </w:p>
    <w:p w14:paraId="46FC986B" w14:textId="3009FBDA" w:rsidR="003F4AF2" w:rsidRPr="00DA1ABB" w:rsidRDefault="003F4AF2" w:rsidP="00BE3661">
      <w:pPr>
        <w:widowControl/>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sidRPr="00DA1ABB">
        <w:rPr>
          <w:color w:val="000000" w:themeColor="text1"/>
        </w:rPr>
        <w:fldChar w:fldCharType="begin"/>
      </w:r>
      <w:r w:rsidR="00841B43">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Commission&lt;/Publisher&gt;&lt;Web_URL&gt;&lt;u&gt;http://www.fao.org/fao-who-codexalimentarius/standards/list-of-standards/en/&lt;/u&gt;&lt;/Web_URL&gt;&lt;Web_URL_Link2&gt;file://Y:\References\GM References_in RefMan&lt;u&gt;\Codex_2004_Principles for the risk analysis of foods derived from modern biotech.pdf&lt;/u&gt;&lt;/Web_URL_Link2&gt;&lt;ZZ_WorkformID&gt;24&lt;/ZZ_WorkformID&gt;&lt;/MDL&gt;&lt;/Cite&gt;&lt;/Refman&gt;</w:instrText>
      </w:r>
      <w:r w:rsidRPr="00DA1ABB">
        <w:rPr>
          <w:color w:val="000000" w:themeColor="text1"/>
        </w:rPr>
        <w:fldChar w:fldCharType="separate"/>
      </w:r>
      <w:r w:rsidRPr="00DA1ABB">
        <w:rPr>
          <w:noProof/>
          <w:color w:val="000000" w:themeColor="text1"/>
        </w:rPr>
        <w:t>(Codex 2004)</w:t>
      </w:r>
      <w:r w:rsidRPr="00DA1ABB">
        <w:rPr>
          <w:color w:val="000000" w:themeColor="text1"/>
        </w:rPr>
        <w:fldChar w:fldCharType="end"/>
      </w:r>
      <w:r w:rsidRPr="00DA1ABB">
        <w:rPr>
          <w:color w:val="000000" w:themeColor="text1"/>
        </w:rPr>
        <w:t xml:space="preserve">. Based on these principles, the </w:t>
      </w:r>
      <w:r>
        <w:rPr>
          <w:color w:val="000000" w:themeColor="text1"/>
        </w:rPr>
        <w:t>risk analysis undertaken for GR2E</w:t>
      </w:r>
      <w:r w:rsidRPr="00DA1ABB">
        <w:rPr>
          <w:color w:val="000000" w:themeColor="text1"/>
        </w:rPr>
        <w:t xml:space="preserve"> used the best scientific evidence available. The Applicant submitted to FSANZ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63701A09" w14:textId="77777777" w:rsidR="008828D9" w:rsidRPr="008828D9" w:rsidRDefault="008828D9" w:rsidP="00BE3661">
      <w:pPr>
        <w:widowControl/>
        <w:rPr>
          <w:lang w:bidi="ar-SA"/>
        </w:rPr>
      </w:pPr>
    </w:p>
    <w:p w14:paraId="5EA3AAF4" w14:textId="77777777" w:rsidR="00022DBC" w:rsidRPr="008828D9" w:rsidRDefault="00022DBC" w:rsidP="00BE3661">
      <w:pPr>
        <w:pStyle w:val="FSBullet1"/>
        <w:rPr>
          <w:b/>
        </w:rPr>
      </w:pPr>
      <w:r w:rsidRPr="008828D9">
        <w:rPr>
          <w:b/>
        </w:rPr>
        <w:t>the promotion of consistency between domestic and international food standards</w:t>
      </w:r>
    </w:p>
    <w:p w14:paraId="47E22AC2" w14:textId="77777777" w:rsidR="008828D9" w:rsidRDefault="008828D9" w:rsidP="00BE3661">
      <w:pPr>
        <w:widowControl/>
        <w:rPr>
          <w:lang w:bidi="ar-SA"/>
        </w:rPr>
      </w:pPr>
    </w:p>
    <w:p w14:paraId="4A8F1F54" w14:textId="77777777" w:rsidR="003F4AF2" w:rsidRPr="00DA1ABB" w:rsidRDefault="003F4AF2" w:rsidP="00BE3661">
      <w:pPr>
        <w:widowControl/>
        <w:rPr>
          <w:color w:val="000000" w:themeColor="text1"/>
        </w:rPr>
      </w:pPr>
      <w:r w:rsidRPr="00DA1ABB">
        <w:rPr>
          <w:color w:val="000000" w:themeColor="text1"/>
        </w:rPr>
        <w:t>This is not a consideration as there are no relevant international standards.</w:t>
      </w:r>
    </w:p>
    <w:p w14:paraId="0791C90C" w14:textId="7A509409" w:rsidR="009928BD" w:rsidRDefault="009928BD">
      <w:pPr>
        <w:widowControl/>
        <w:rPr>
          <w:rFonts w:cs="Arial"/>
          <w:b/>
          <w:lang w:bidi="ar-SA"/>
        </w:rPr>
      </w:pPr>
    </w:p>
    <w:p w14:paraId="11DDFD58" w14:textId="675373E3" w:rsidR="00022DBC" w:rsidRPr="008828D9" w:rsidRDefault="00022DBC" w:rsidP="00BE3661">
      <w:pPr>
        <w:pStyle w:val="FSBullet1"/>
        <w:rPr>
          <w:b/>
        </w:rPr>
      </w:pPr>
      <w:r w:rsidRPr="008828D9">
        <w:rPr>
          <w:b/>
        </w:rPr>
        <w:t>the desirability of an efficient and internationally competitive food industry</w:t>
      </w:r>
    </w:p>
    <w:p w14:paraId="0C4CC2B5" w14:textId="77777777" w:rsidR="008828D9" w:rsidRDefault="008828D9" w:rsidP="00BE3661">
      <w:pPr>
        <w:widowControl/>
        <w:rPr>
          <w:lang w:bidi="ar-SA"/>
        </w:rPr>
      </w:pPr>
    </w:p>
    <w:p w14:paraId="77D653E5" w14:textId="6F8A4CE5" w:rsidR="003F4AF2" w:rsidRDefault="003F4AF2" w:rsidP="00BE3661">
      <w:pPr>
        <w:widowControl/>
        <w:rPr>
          <w:color w:val="000000" w:themeColor="text1"/>
        </w:rPr>
      </w:pPr>
      <w:r w:rsidRPr="00DA1ABB">
        <w:rPr>
          <w:color w:val="000000" w:themeColor="text1"/>
        </w:rPr>
        <w:t xml:space="preserve">The inclusion of GM foods in the food supply, providing there are no safety concerns, allows for innovation by developers and a widening of the technological base </w:t>
      </w:r>
      <w:r>
        <w:rPr>
          <w:color w:val="000000" w:themeColor="text1"/>
        </w:rPr>
        <w:t xml:space="preserve">for </w:t>
      </w:r>
      <w:r w:rsidR="00B43E73">
        <w:rPr>
          <w:color w:val="000000" w:themeColor="text1"/>
        </w:rPr>
        <w:t xml:space="preserve">producing </w:t>
      </w:r>
      <w:r>
        <w:rPr>
          <w:color w:val="000000" w:themeColor="text1"/>
        </w:rPr>
        <w:t>foods. GR2E</w:t>
      </w:r>
      <w:r w:rsidRPr="00DA1ABB">
        <w:rPr>
          <w:color w:val="000000" w:themeColor="text1"/>
        </w:rPr>
        <w:t xml:space="preserve"> is a new food crop designed to</w:t>
      </w:r>
      <w:r>
        <w:rPr>
          <w:color w:val="000000" w:themeColor="text1"/>
        </w:rPr>
        <w:t xml:space="preserve"> mitigate vitamin A deficiency in developing countries. While GR2E is not intended for the Australian or New Zealand food supplies, a food approval would prevent trade disruption should there be inadvertent presence in imported shipments of milled rice.</w:t>
      </w:r>
    </w:p>
    <w:p w14:paraId="745D7698" w14:textId="77777777" w:rsidR="008828D9" w:rsidRPr="008828D9" w:rsidRDefault="008828D9" w:rsidP="00BE3661">
      <w:pPr>
        <w:widowControl/>
        <w:rPr>
          <w:lang w:bidi="ar-SA"/>
        </w:rPr>
      </w:pPr>
    </w:p>
    <w:p w14:paraId="409B8F8B" w14:textId="797BE784" w:rsidR="00022DBC" w:rsidRPr="00F02F41" w:rsidRDefault="00022DBC" w:rsidP="00F02F41">
      <w:pPr>
        <w:pStyle w:val="ListParagraph"/>
        <w:keepNext/>
        <w:widowControl/>
        <w:numPr>
          <w:ilvl w:val="0"/>
          <w:numId w:val="13"/>
        </w:numPr>
        <w:ind w:left="567" w:hanging="567"/>
        <w:rPr>
          <w:b/>
        </w:rPr>
      </w:pPr>
      <w:r w:rsidRPr="00F02F41">
        <w:rPr>
          <w:b/>
        </w:rPr>
        <w:t>the promotion of fair trading in food</w:t>
      </w:r>
    </w:p>
    <w:p w14:paraId="2ADE97BF" w14:textId="77777777" w:rsidR="008828D9" w:rsidRDefault="008828D9" w:rsidP="00F5657B">
      <w:pPr>
        <w:keepNext/>
        <w:widowControl/>
        <w:rPr>
          <w:lang w:bidi="ar-SA"/>
        </w:rPr>
      </w:pPr>
    </w:p>
    <w:p w14:paraId="38704278" w14:textId="0C1FACA1" w:rsidR="003F4AF2" w:rsidRDefault="006B5691" w:rsidP="00F5657B">
      <w:pPr>
        <w:keepNext/>
        <w:widowControl/>
        <w:rPr>
          <w:color w:val="000000" w:themeColor="text1"/>
        </w:rPr>
      </w:pPr>
      <w:r>
        <w:rPr>
          <w:color w:val="000000" w:themeColor="text1"/>
        </w:rPr>
        <w:t>Issues related to consumer informatio</w:t>
      </w:r>
      <w:r w:rsidR="00B85EDE">
        <w:rPr>
          <w:color w:val="000000" w:themeColor="text1"/>
        </w:rPr>
        <w:t xml:space="preserve">n and </w:t>
      </w:r>
      <w:proofErr w:type="gramStart"/>
      <w:r w:rsidR="00B85EDE">
        <w:rPr>
          <w:color w:val="000000" w:themeColor="text1"/>
        </w:rPr>
        <w:t>safety are</w:t>
      </w:r>
      <w:proofErr w:type="gramEnd"/>
      <w:r w:rsidR="00B85EDE">
        <w:rPr>
          <w:color w:val="000000" w:themeColor="text1"/>
        </w:rPr>
        <w:t xml:space="preserve"> considered in s</w:t>
      </w:r>
      <w:r>
        <w:rPr>
          <w:color w:val="000000" w:themeColor="text1"/>
        </w:rPr>
        <w:t>ection</w:t>
      </w:r>
      <w:r w:rsidR="00B85EDE">
        <w:rPr>
          <w:color w:val="000000" w:themeColor="text1"/>
        </w:rPr>
        <w:t>s</w:t>
      </w:r>
      <w:r>
        <w:rPr>
          <w:color w:val="000000" w:themeColor="text1"/>
        </w:rPr>
        <w:t xml:space="preserve"> 2.2 and 2.3 above.</w:t>
      </w:r>
    </w:p>
    <w:p w14:paraId="4F768CFE" w14:textId="77777777" w:rsidR="005E3648" w:rsidRDefault="005E3648" w:rsidP="00BE3661">
      <w:pPr>
        <w:widowControl/>
        <w:rPr>
          <w:color w:val="000000" w:themeColor="text1"/>
        </w:rPr>
      </w:pPr>
    </w:p>
    <w:p w14:paraId="764B7853" w14:textId="77777777" w:rsidR="00022DBC" w:rsidRPr="005E2F53" w:rsidRDefault="00022DBC" w:rsidP="00BE3661">
      <w:pPr>
        <w:pStyle w:val="FSBullet1"/>
      </w:pPr>
      <w:r w:rsidRPr="008828D9">
        <w:rPr>
          <w:b/>
        </w:rPr>
        <w:t xml:space="preserve">any written policy guidelines formulated by the </w:t>
      </w:r>
      <w:r w:rsidR="006E527D">
        <w:rPr>
          <w:b/>
        </w:rPr>
        <w:t>Forum on Food Regulation</w:t>
      </w:r>
    </w:p>
    <w:p w14:paraId="74FDFEDD" w14:textId="77777777" w:rsidR="00612E38" w:rsidRDefault="00612E38" w:rsidP="00BE3661">
      <w:pPr>
        <w:widowControl/>
        <w:rPr>
          <w:lang w:eastAsia="en-AU" w:bidi="ar-SA"/>
        </w:rPr>
      </w:pPr>
    </w:p>
    <w:p w14:paraId="394A3EC9" w14:textId="3349766A" w:rsidR="00F64134" w:rsidRDefault="00CE172D" w:rsidP="00BE3661">
      <w:pPr>
        <w:widowControl/>
        <w:rPr>
          <w:lang w:eastAsia="en-AU" w:bidi="ar-SA"/>
        </w:rPr>
      </w:pPr>
      <w:r>
        <w:rPr>
          <w:lang w:eastAsia="en-AU" w:bidi="ar-SA"/>
        </w:rPr>
        <w:t>No policy guidelines apply to this Application. FSANZ notes that</w:t>
      </w:r>
      <w:r w:rsidR="00BE3661">
        <w:rPr>
          <w:lang w:eastAsia="en-AU" w:bidi="ar-SA"/>
        </w:rPr>
        <w:t>,</w:t>
      </w:r>
      <w:r>
        <w:rPr>
          <w:lang w:eastAsia="en-AU" w:bidi="ar-SA"/>
        </w:rPr>
        <w:t xml:space="preserve"> i</w:t>
      </w:r>
      <w:r w:rsidR="00805759">
        <w:rPr>
          <w:lang w:eastAsia="en-AU" w:bidi="ar-SA"/>
        </w:rPr>
        <w:t xml:space="preserve">n developing the Policy Guideline </w:t>
      </w:r>
      <w:r w:rsidR="00805759" w:rsidRPr="00805759">
        <w:rPr>
          <w:i/>
          <w:lang w:eastAsia="en-AU" w:bidi="ar-SA"/>
        </w:rPr>
        <w:t>Fortification of Food with Vitamins and Minerals</w:t>
      </w:r>
      <w:r w:rsidR="00805759">
        <w:rPr>
          <w:lang w:eastAsia="en-AU" w:bidi="ar-SA"/>
        </w:rPr>
        <w:t xml:space="preserve">, </w:t>
      </w:r>
      <w:r w:rsidR="002768F7">
        <w:rPr>
          <w:lang w:eastAsia="en-AU" w:bidi="ar-SA"/>
        </w:rPr>
        <w:t>‘</w:t>
      </w:r>
      <w:r w:rsidR="00805759">
        <w:rPr>
          <w:lang w:eastAsia="en-AU" w:bidi="ar-SA"/>
        </w:rPr>
        <w:t xml:space="preserve">fortification </w:t>
      </w:r>
      <w:r w:rsidR="002768F7">
        <w:rPr>
          <w:lang w:eastAsia="en-AU" w:bidi="ar-SA"/>
        </w:rPr>
        <w:t>through genetic means’</w:t>
      </w:r>
      <w:r w:rsidR="00805759">
        <w:rPr>
          <w:lang w:eastAsia="en-AU" w:bidi="ar-SA"/>
        </w:rPr>
        <w:t xml:space="preserve"> was explicitly </w:t>
      </w:r>
      <w:r w:rsidR="002768F7">
        <w:rPr>
          <w:lang w:eastAsia="en-AU" w:bidi="ar-SA"/>
        </w:rPr>
        <w:t xml:space="preserve">deemed to be </w:t>
      </w:r>
      <w:hyperlink r:id="rId28" w:history="1">
        <w:r w:rsidR="002768F7" w:rsidRPr="00204E8E">
          <w:rPr>
            <w:rStyle w:val="Hyperlink"/>
            <w:lang w:eastAsia="en-AU" w:bidi="ar-SA"/>
          </w:rPr>
          <w:t>beyond the scope of the Guideline</w:t>
        </w:r>
      </w:hyperlink>
      <w:r w:rsidR="00A841C7">
        <w:rPr>
          <w:rStyle w:val="FootnoteReference"/>
          <w:lang w:eastAsia="en-AU" w:bidi="ar-SA"/>
        </w:rPr>
        <w:footnoteReference w:id="10"/>
      </w:r>
      <w:r w:rsidR="00612E38">
        <w:rPr>
          <w:lang w:eastAsia="en-AU" w:bidi="ar-SA"/>
        </w:rPr>
        <w:t>. This is the same approach that</w:t>
      </w:r>
      <w:r w:rsidR="002768F7">
        <w:rPr>
          <w:lang w:eastAsia="en-AU" w:bidi="ar-SA"/>
        </w:rPr>
        <w:t xml:space="preserve"> </w:t>
      </w:r>
      <w:r w:rsidR="00DA28FE">
        <w:rPr>
          <w:lang w:eastAsia="en-AU" w:bidi="ar-SA"/>
        </w:rPr>
        <w:t>equally applies</w:t>
      </w:r>
      <w:r w:rsidR="005E4F2D">
        <w:rPr>
          <w:lang w:eastAsia="en-AU" w:bidi="ar-SA"/>
        </w:rPr>
        <w:t xml:space="preserve"> </w:t>
      </w:r>
      <w:r w:rsidR="00F64134">
        <w:rPr>
          <w:lang w:eastAsia="en-AU" w:bidi="ar-SA"/>
        </w:rPr>
        <w:t>to food containing</w:t>
      </w:r>
      <w:r w:rsidR="00805759">
        <w:rPr>
          <w:lang w:eastAsia="en-AU" w:bidi="ar-SA"/>
        </w:rPr>
        <w:t xml:space="preserve"> a modified nutrient content achieved </w:t>
      </w:r>
      <w:r w:rsidR="00BE3661">
        <w:rPr>
          <w:lang w:eastAsia="en-AU" w:bidi="ar-SA"/>
        </w:rPr>
        <w:t>through</w:t>
      </w:r>
      <w:r w:rsidR="00805759">
        <w:rPr>
          <w:lang w:eastAsia="en-AU" w:bidi="ar-SA"/>
        </w:rPr>
        <w:t xml:space="preserve"> conventional breeding techniques</w:t>
      </w:r>
      <w:r w:rsidR="002768F7">
        <w:rPr>
          <w:lang w:eastAsia="en-AU" w:bidi="ar-SA"/>
        </w:rPr>
        <w:t>.</w:t>
      </w:r>
    </w:p>
    <w:p w14:paraId="66713DB0" w14:textId="77777777" w:rsidR="00F64134" w:rsidRDefault="00F64134" w:rsidP="00BE3661">
      <w:pPr>
        <w:widowControl/>
        <w:rPr>
          <w:lang w:eastAsia="en-AU" w:bidi="ar-SA"/>
        </w:rPr>
      </w:pPr>
    </w:p>
    <w:p w14:paraId="696CE731" w14:textId="77777777" w:rsidR="005F7342" w:rsidRPr="003F4AF2" w:rsidRDefault="00867B23" w:rsidP="00BE3661">
      <w:pPr>
        <w:pStyle w:val="Heading1"/>
        <w:widowControl/>
        <w:rPr>
          <w:color w:val="000000" w:themeColor="text1"/>
        </w:rPr>
      </w:pPr>
      <w:bookmarkStart w:id="72" w:name="_Toc286391014"/>
      <w:bookmarkStart w:id="73" w:name="_Toc175381455"/>
      <w:bookmarkStart w:id="74" w:name="_Toc300933445"/>
      <w:bookmarkStart w:id="75" w:name="_Toc488316695"/>
      <w:bookmarkEnd w:id="26"/>
      <w:bookmarkEnd w:id="27"/>
      <w:bookmarkEnd w:id="28"/>
      <w:bookmarkEnd w:id="29"/>
      <w:bookmarkEnd w:id="30"/>
      <w:bookmarkEnd w:id="31"/>
      <w:bookmarkEnd w:id="46"/>
      <w:r w:rsidRPr="003F4AF2">
        <w:rPr>
          <w:color w:val="000000" w:themeColor="text1"/>
        </w:rPr>
        <w:t>3</w:t>
      </w:r>
      <w:r w:rsidR="00F604DE" w:rsidRPr="003F4AF2">
        <w:rPr>
          <w:color w:val="000000" w:themeColor="text1"/>
        </w:rPr>
        <w:tab/>
      </w:r>
      <w:bookmarkEnd w:id="72"/>
      <w:bookmarkEnd w:id="73"/>
      <w:bookmarkEnd w:id="74"/>
      <w:r w:rsidR="00D14405" w:rsidRPr="003F4AF2">
        <w:rPr>
          <w:color w:val="000000" w:themeColor="text1"/>
        </w:rPr>
        <w:t>Draft variation</w:t>
      </w:r>
      <w:bookmarkEnd w:id="75"/>
    </w:p>
    <w:p w14:paraId="11EE3598" w14:textId="332F2825" w:rsidR="00D209C9" w:rsidRPr="003F4AF2" w:rsidRDefault="00D209C9" w:rsidP="00BE3661">
      <w:pPr>
        <w:widowControl/>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3F4AF2">
        <w:rPr>
          <w:color w:val="000000" w:themeColor="text1"/>
        </w:rPr>
        <w:t xml:space="preserve">on </w:t>
      </w:r>
      <w:r w:rsidR="004928B3">
        <w:rPr>
          <w:color w:val="000000" w:themeColor="text1"/>
        </w:rPr>
        <w:t xml:space="preserve">the date of </w:t>
      </w:r>
      <w:r w:rsidR="003F4AF2" w:rsidRPr="003F4AF2">
        <w:rPr>
          <w:color w:val="000000" w:themeColor="text1"/>
        </w:rPr>
        <w:t>gazettal</w:t>
      </w:r>
      <w:r w:rsidRPr="003F4AF2">
        <w:rPr>
          <w:color w:val="000000" w:themeColor="text1"/>
        </w:rPr>
        <w:t>.</w:t>
      </w:r>
    </w:p>
    <w:p w14:paraId="7A8AC62E" w14:textId="77777777" w:rsidR="00D209C9" w:rsidRPr="003F4AF2" w:rsidRDefault="00D209C9" w:rsidP="00BE3661">
      <w:pPr>
        <w:widowControl/>
        <w:rPr>
          <w:color w:val="000000" w:themeColor="text1"/>
        </w:rPr>
      </w:pPr>
    </w:p>
    <w:p w14:paraId="38E1DB3B" w14:textId="77777777" w:rsidR="00A12B44" w:rsidRPr="00D26814" w:rsidRDefault="002C4A91" w:rsidP="00BE3661">
      <w:pPr>
        <w:widowControl/>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4BA43E53" w14:textId="77777777" w:rsidR="00D26814" w:rsidRPr="00B901A1" w:rsidRDefault="00D26814" w:rsidP="00BE3661">
      <w:pPr>
        <w:widowControl/>
        <w:rPr>
          <w:rFonts w:cs="Arial"/>
          <w:color w:val="000000" w:themeColor="text1"/>
        </w:rPr>
      </w:pPr>
      <w:bookmarkStart w:id="76" w:name="_Toc11735643"/>
      <w:bookmarkStart w:id="77" w:name="_Toc29883130"/>
      <w:bookmarkStart w:id="78" w:name="_Toc41906817"/>
      <w:bookmarkStart w:id="79" w:name="_Toc41907564"/>
      <w:bookmarkStart w:id="80" w:name="_Toc43112360"/>
    </w:p>
    <w:p w14:paraId="76F7D276" w14:textId="77777777" w:rsidR="00924C80" w:rsidRPr="00B901A1" w:rsidRDefault="00867B23" w:rsidP="00BE3661">
      <w:pPr>
        <w:pStyle w:val="Heading1"/>
        <w:widowControl/>
        <w:rPr>
          <w:color w:val="000000" w:themeColor="text1"/>
        </w:rPr>
      </w:pPr>
      <w:bookmarkStart w:id="81" w:name="_Toc300933452"/>
      <w:bookmarkStart w:id="82" w:name="_Toc488316696"/>
      <w:r w:rsidRPr="00B901A1">
        <w:rPr>
          <w:color w:val="000000" w:themeColor="text1"/>
        </w:rPr>
        <w:lastRenderedPageBreak/>
        <w:t>4</w:t>
      </w:r>
      <w:r w:rsidR="00924C80" w:rsidRPr="00B901A1">
        <w:rPr>
          <w:color w:val="000000" w:themeColor="text1"/>
        </w:rPr>
        <w:tab/>
        <w:t>R</w:t>
      </w:r>
      <w:bookmarkEnd w:id="81"/>
      <w:r w:rsidR="006C28E2" w:rsidRPr="00B901A1">
        <w:rPr>
          <w:color w:val="000000" w:themeColor="text1"/>
        </w:rPr>
        <w:t>eferences</w:t>
      </w:r>
      <w:bookmarkEnd w:id="82"/>
    </w:p>
    <w:bookmarkEnd w:id="76"/>
    <w:bookmarkEnd w:id="77"/>
    <w:bookmarkEnd w:id="78"/>
    <w:bookmarkEnd w:id="79"/>
    <w:bookmarkEnd w:id="80"/>
    <w:p w14:paraId="2BA3C6F6" w14:textId="77777777" w:rsidR="00841B43" w:rsidRPr="00841B43" w:rsidRDefault="00841B43" w:rsidP="00841B43">
      <w:pPr>
        <w:tabs>
          <w:tab w:val="left" w:pos="0"/>
        </w:tabs>
        <w:rPr>
          <w:rFonts w:cs="Arial"/>
          <w:noProof/>
          <w:sz w:val="20"/>
          <w:szCs w:val="20"/>
        </w:rPr>
      </w:pPr>
      <w:r w:rsidRPr="00841B43">
        <w:rPr>
          <w:rFonts w:cs="Arial"/>
          <w:noProof/>
          <w:sz w:val="20"/>
          <w:szCs w:val="20"/>
        </w:rPr>
        <w:t>Codex (2004) Principles for the risk analysis of foods derived from modern biotechnology. CAC/GL 44-2003. Codex Alimentarius Commission, Rome.</w:t>
      </w:r>
    </w:p>
    <w:p w14:paraId="4514910D" w14:textId="77777777" w:rsidR="00841B43" w:rsidRPr="00841B43" w:rsidRDefault="00F57280" w:rsidP="00841B43">
      <w:pPr>
        <w:tabs>
          <w:tab w:val="left" w:pos="0"/>
        </w:tabs>
        <w:spacing w:after="240"/>
        <w:rPr>
          <w:rFonts w:cs="Arial"/>
          <w:noProof/>
          <w:sz w:val="20"/>
          <w:szCs w:val="20"/>
          <w:u w:val="single"/>
        </w:rPr>
      </w:pPr>
      <w:hyperlink r:id="rId29" w:history="1">
        <w:r w:rsidR="00841B43" w:rsidRPr="00841B43">
          <w:rPr>
            <w:rStyle w:val="Hyperlink"/>
            <w:rFonts w:cs="Arial"/>
            <w:noProof/>
            <w:sz w:val="20"/>
            <w:szCs w:val="20"/>
          </w:rPr>
          <w:t>http://www.fao.org/fao-who-codexalimentarius/standards/list-of-standards/en/</w:t>
        </w:r>
      </w:hyperlink>
    </w:p>
    <w:p w14:paraId="410D76B7" w14:textId="77777777" w:rsidR="00841B43" w:rsidRPr="00841B43" w:rsidRDefault="00841B43" w:rsidP="00841B43">
      <w:pPr>
        <w:tabs>
          <w:tab w:val="left" w:pos="0"/>
        </w:tabs>
        <w:rPr>
          <w:rFonts w:cs="Arial"/>
          <w:noProof/>
          <w:sz w:val="20"/>
          <w:szCs w:val="20"/>
        </w:rPr>
      </w:pPr>
      <w:r w:rsidRPr="00841B43">
        <w:rPr>
          <w:rFonts w:cs="Arial"/>
          <w:noProof/>
          <w:sz w:val="20"/>
          <w:szCs w:val="20"/>
        </w:rPr>
        <w:t>FSANZ (2006) Application A564 - Food derived from insect-protected corn line MIR604. Report prepared by Food Standards Australia New Zealand.</w:t>
      </w:r>
    </w:p>
    <w:p w14:paraId="3C901FE6" w14:textId="77777777" w:rsidR="00841B43" w:rsidRPr="00841B43" w:rsidRDefault="00F57280" w:rsidP="00841B43">
      <w:pPr>
        <w:tabs>
          <w:tab w:val="left" w:pos="0"/>
        </w:tabs>
        <w:spacing w:after="240"/>
        <w:rPr>
          <w:rFonts w:cs="Arial"/>
          <w:noProof/>
          <w:sz w:val="20"/>
          <w:szCs w:val="20"/>
          <w:u w:val="single"/>
        </w:rPr>
      </w:pPr>
      <w:hyperlink r:id="rId30" w:history="1">
        <w:r w:rsidR="00841B43" w:rsidRPr="00841B43">
          <w:rPr>
            <w:rStyle w:val="Hyperlink"/>
            <w:rFonts w:cs="Arial"/>
            <w:noProof/>
            <w:sz w:val="20"/>
            <w:szCs w:val="20"/>
          </w:rPr>
          <w:t>http://www.foodstandards.gov.au/code/applications/pages/applicationa564foodd2972.aspx</w:t>
        </w:r>
      </w:hyperlink>
    </w:p>
    <w:p w14:paraId="00249718" w14:textId="77777777" w:rsidR="00841B43" w:rsidRPr="00841B43" w:rsidRDefault="00841B43" w:rsidP="00841B43">
      <w:pPr>
        <w:tabs>
          <w:tab w:val="left" w:pos="0"/>
        </w:tabs>
        <w:rPr>
          <w:rFonts w:cs="Arial"/>
          <w:noProof/>
          <w:sz w:val="20"/>
          <w:szCs w:val="20"/>
        </w:rPr>
      </w:pPr>
      <w:r w:rsidRPr="00841B43">
        <w:rPr>
          <w:rFonts w:cs="Arial"/>
          <w:noProof/>
          <w:sz w:val="20"/>
          <w:szCs w:val="20"/>
        </w:rPr>
        <w:t>FSANZ (2008a) Application A580 - Food derived from amylase-modified corn line 3272. Report prepared by Food Standards Australia New Zealand.</w:t>
      </w:r>
    </w:p>
    <w:p w14:paraId="16C533B6" w14:textId="77777777" w:rsidR="00841B43" w:rsidRPr="00841B43" w:rsidRDefault="00F57280" w:rsidP="00841B43">
      <w:pPr>
        <w:tabs>
          <w:tab w:val="left" w:pos="0"/>
        </w:tabs>
        <w:spacing w:after="240"/>
        <w:rPr>
          <w:rFonts w:cs="Arial"/>
          <w:noProof/>
          <w:sz w:val="20"/>
          <w:szCs w:val="20"/>
          <w:u w:val="single"/>
        </w:rPr>
      </w:pPr>
      <w:hyperlink r:id="rId31" w:history="1">
        <w:r w:rsidR="00841B43" w:rsidRPr="00841B43">
          <w:rPr>
            <w:rStyle w:val="Hyperlink"/>
            <w:rFonts w:cs="Arial"/>
            <w:noProof/>
            <w:sz w:val="20"/>
            <w:szCs w:val="20"/>
          </w:rPr>
          <w:t>http://www.foodstandards.gov.au/code/applications/pages/applicationa580foodd3243.aspx</w:t>
        </w:r>
      </w:hyperlink>
    </w:p>
    <w:p w14:paraId="265D853E" w14:textId="77777777" w:rsidR="00841B43" w:rsidRPr="00841B43" w:rsidRDefault="00841B43" w:rsidP="00841B43">
      <w:pPr>
        <w:tabs>
          <w:tab w:val="left" w:pos="0"/>
        </w:tabs>
        <w:rPr>
          <w:rFonts w:cs="Arial"/>
          <w:noProof/>
          <w:sz w:val="20"/>
          <w:szCs w:val="20"/>
        </w:rPr>
      </w:pPr>
      <w:r w:rsidRPr="00841B43">
        <w:rPr>
          <w:rFonts w:cs="Arial"/>
          <w:noProof/>
          <w:sz w:val="20"/>
          <w:szCs w:val="20"/>
        </w:rPr>
        <w:t>FSANZ (2008b) Application A1001 - Food derived from insect-protected corn line MIR162. Report prepared by Food Standards Australia New Zealand.</w:t>
      </w:r>
    </w:p>
    <w:p w14:paraId="6CCD5F3D" w14:textId="77777777" w:rsidR="00841B43" w:rsidRPr="00841B43" w:rsidRDefault="00F57280" w:rsidP="00841B43">
      <w:pPr>
        <w:tabs>
          <w:tab w:val="left" w:pos="0"/>
        </w:tabs>
        <w:spacing w:after="240"/>
        <w:rPr>
          <w:rFonts w:cs="Arial"/>
          <w:noProof/>
          <w:sz w:val="20"/>
          <w:szCs w:val="20"/>
          <w:u w:val="single"/>
        </w:rPr>
      </w:pPr>
      <w:hyperlink r:id="rId32" w:history="1">
        <w:r w:rsidR="00841B43" w:rsidRPr="00841B43">
          <w:rPr>
            <w:rStyle w:val="Hyperlink"/>
            <w:rFonts w:cs="Arial"/>
            <w:noProof/>
            <w:sz w:val="20"/>
            <w:szCs w:val="20"/>
          </w:rPr>
          <w:t>http://www.foodstandards.gov.au/code/applications/pages/applicationa1001food3769.aspx</w:t>
        </w:r>
      </w:hyperlink>
    </w:p>
    <w:p w14:paraId="1DCB90A9" w14:textId="77777777" w:rsidR="00841B43" w:rsidRPr="00841B43" w:rsidRDefault="00841B43" w:rsidP="00841B43">
      <w:pPr>
        <w:tabs>
          <w:tab w:val="left" w:pos="0"/>
        </w:tabs>
        <w:rPr>
          <w:rFonts w:cs="Arial"/>
          <w:noProof/>
          <w:sz w:val="20"/>
          <w:szCs w:val="20"/>
        </w:rPr>
      </w:pPr>
      <w:r w:rsidRPr="00841B43">
        <w:rPr>
          <w:rFonts w:cs="Arial"/>
          <w:noProof/>
          <w:sz w:val="20"/>
          <w:szCs w:val="20"/>
        </w:rPr>
        <w:t>FSANZ (2012) Application A1060 - Food derived from insect-protected corn line 5307. Report prepared by Food Standards Australia New Zealand.</w:t>
      </w:r>
    </w:p>
    <w:p w14:paraId="257973A5" w14:textId="77777777" w:rsidR="00841B43" w:rsidRPr="00841B43" w:rsidRDefault="00F57280" w:rsidP="00841B43">
      <w:pPr>
        <w:tabs>
          <w:tab w:val="left" w:pos="0"/>
        </w:tabs>
        <w:rPr>
          <w:rFonts w:cs="Arial"/>
          <w:noProof/>
          <w:sz w:val="20"/>
          <w:szCs w:val="20"/>
          <w:u w:val="single"/>
        </w:rPr>
      </w:pPr>
      <w:hyperlink r:id="rId33" w:history="1">
        <w:r w:rsidR="00841B43" w:rsidRPr="00841B43">
          <w:rPr>
            <w:rStyle w:val="Hyperlink"/>
            <w:rFonts w:cs="Arial"/>
            <w:noProof/>
            <w:sz w:val="20"/>
            <w:szCs w:val="20"/>
          </w:rPr>
          <w:t>http://www.foodstandards.gov.au/code/applications/pages/applicationa1060food5180.aspx</w:t>
        </w:r>
      </w:hyperlink>
    </w:p>
    <w:p w14:paraId="06B5F220" w14:textId="77777777" w:rsidR="003C4969" w:rsidRPr="00924C80" w:rsidRDefault="00924C80" w:rsidP="00BE3661">
      <w:pPr>
        <w:widowControl/>
        <w:spacing w:before="240"/>
        <w:rPr>
          <w:b/>
          <w:sz w:val="28"/>
          <w:szCs w:val="28"/>
        </w:rPr>
      </w:pPr>
      <w:r w:rsidRPr="00924C80">
        <w:rPr>
          <w:b/>
          <w:sz w:val="28"/>
          <w:szCs w:val="28"/>
        </w:rPr>
        <w:t>A</w:t>
      </w:r>
      <w:r>
        <w:rPr>
          <w:b/>
          <w:sz w:val="28"/>
          <w:szCs w:val="28"/>
        </w:rPr>
        <w:t>ttachments</w:t>
      </w:r>
    </w:p>
    <w:p w14:paraId="0D167C23" w14:textId="77777777" w:rsidR="00A4175D" w:rsidRPr="00E203C2" w:rsidRDefault="00A4175D" w:rsidP="00BE3661">
      <w:pPr>
        <w:widowControl/>
      </w:pPr>
    </w:p>
    <w:p w14:paraId="32A4FB45" w14:textId="77777777" w:rsidR="00AB0275" w:rsidRDefault="00AB0275" w:rsidP="00BE3661">
      <w:pPr>
        <w:widowControl/>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7E485483" w14:textId="77777777" w:rsidR="00AB0275" w:rsidRDefault="00AB0275" w:rsidP="00BE3661">
      <w:pPr>
        <w:widowControl/>
        <w:ind w:left="567" w:hanging="567"/>
      </w:pPr>
      <w:r w:rsidRPr="00456BD5">
        <w:t>B.</w:t>
      </w:r>
      <w:r w:rsidRPr="00456BD5">
        <w:tab/>
      </w:r>
      <w:r w:rsidR="002C4A91">
        <w:t xml:space="preserve">Draft </w:t>
      </w:r>
      <w:r>
        <w:t xml:space="preserve">Explanatory Statement </w:t>
      </w:r>
    </w:p>
    <w:p w14:paraId="37DF2C9D" w14:textId="77777777" w:rsidR="00D60568" w:rsidRPr="00E203C2" w:rsidRDefault="00D60568" w:rsidP="00BE3661">
      <w:pPr>
        <w:widowControl/>
      </w:pPr>
    </w:p>
    <w:p w14:paraId="07BF42A7" w14:textId="77777777" w:rsidR="00AB0275" w:rsidRPr="00456BD5" w:rsidRDefault="00AB0275" w:rsidP="00BE3661">
      <w:pPr>
        <w:pStyle w:val="Heading2"/>
        <w:widowControl/>
        <w:ind w:left="0" w:firstLine="0"/>
      </w:pPr>
      <w:bookmarkStart w:id="83" w:name="_Toc300933454"/>
      <w:r w:rsidRPr="00932F14">
        <w:br w:type="page"/>
      </w:r>
      <w:bookmarkStart w:id="84" w:name="_Toc29883131"/>
      <w:bookmarkStart w:id="85" w:name="_Toc41906818"/>
      <w:bookmarkStart w:id="86" w:name="_Toc41907565"/>
      <w:bookmarkStart w:id="87" w:name="_Toc120358596"/>
      <w:bookmarkStart w:id="88" w:name="_Toc175381458"/>
      <w:bookmarkStart w:id="89" w:name="_Toc11735644"/>
      <w:bookmarkStart w:id="90" w:name="_Toc415572037"/>
      <w:bookmarkStart w:id="91" w:name="_Toc488316697"/>
      <w:r w:rsidRPr="00932F14">
        <w:lastRenderedPageBreak/>
        <w:t xml:space="preserve">Attachment </w:t>
      </w:r>
      <w:bookmarkEnd w:id="84"/>
      <w:bookmarkEnd w:id="85"/>
      <w:bookmarkEnd w:id="86"/>
      <w:bookmarkEnd w:id="87"/>
      <w:bookmarkEnd w:id="88"/>
      <w:r>
        <w:t>A</w:t>
      </w:r>
      <w:bookmarkStart w:id="92" w:name="_Toc120358597"/>
      <w:bookmarkStart w:id="93" w:name="_Toc175381459"/>
      <w:bookmarkEnd w:id="89"/>
      <w:r>
        <w:t xml:space="preserve"> –</w:t>
      </w:r>
      <w:r w:rsidR="00CA3C65">
        <w:t xml:space="preserve"> </w:t>
      </w:r>
      <w:bookmarkStart w:id="94" w:name="_Toc415572039"/>
      <w:bookmarkEnd w:id="83"/>
      <w:bookmarkEnd w:id="90"/>
      <w:bookmarkEnd w:id="92"/>
      <w:bookmarkEnd w:id="93"/>
      <w:r w:rsidR="00CA3C65">
        <w:t>D</w:t>
      </w:r>
      <w:r>
        <w:t xml:space="preserve">raft </w:t>
      </w:r>
      <w:r w:rsidRPr="00932F14">
        <w:t>variation to the</w:t>
      </w:r>
      <w:r w:rsidRPr="00755F02">
        <w:t xml:space="preserve"> </w:t>
      </w:r>
      <w:r w:rsidRPr="00795D86">
        <w:rPr>
          <w:i/>
        </w:rPr>
        <w:t>Australia New Zealand Food Standards Code</w:t>
      </w:r>
      <w:bookmarkEnd w:id="91"/>
      <w:r>
        <w:rPr>
          <w:i/>
        </w:rPr>
        <w:t xml:space="preserve"> </w:t>
      </w:r>
      <w:bookmarkEnd w:id="94"/>
    </w:p>
    <w:p w14:paraId="4F6CBC4F" w14:textId="77777777" w:rsidR="00B901A1" w:rsidRPr="009E4AB1" w:rsidRDefault="00B901A1" w:rsidP="00BE3661">
      <w:pPr>
        <w:widowControl/>
      </w:pPr>
    </w:p>
    <w:p w14:paraId="19811305" w14:textId="77777777" w:rsidR="00B901A1" w:rsidRPr="00DA1ABB" w:rsidRDefault="00B901A1" w:rsidP="00BE3661">
      <w:pPr>
        <w:widowControl/>
        <w:rPr>
          <w:noProof/>
          <w:color w:val="000000" w:themeColor="text1"/>
          <w:sz w:val="20"/>
          <w:lang w:val="en-AU" w:eastAsia="en-AU"/>
        </w:rPr>
      </w:pPr>
      <w:r w:rsidRPr="00DA1ABB">
        <w:rPr>
          <w:noProof/>
          <w:color w:val="000000" w:themeColor="text1"/>
          <w:sz w:val="20"/>
          <w:lang w:eastAsia="en-GB" w:bidi="ar-SA"/>
        </w:rPr>
        <w:drawing>
          <wp:inline distT="0" distB="0" distL="0" distR="0" wp14:anchorId="4A473278" wp14:editId="286811B8">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7C36503" w14:textId="77777777" w:rsidR="00B901A1" w:rsidRPr="00DA1ABB" w:rsidRDefault="00B901A1" w:rsidP="00BE3661">
      <w:pPr>
        <w:widowControl/>
        <w:pBdr>
          <w:bottom w:val="single" w:sz="4" w:space="1" w:color="auto"/>
        </w:pBdr>
        <w:jc w:val="center"/>
        <w:rPr>
          <w:rFonts w:eastAsiaTheme="minorHAnsi" w:cstheme="minorBidi"/>
          <w:color w:val="000000" w:themeColor="text1"/>
          <w:sz w:val="20"/>
          <w:lang w:eastAsia="en-GB"/>
        </w:rPr>
      </w:pPr>
    </w:p>
    <w:p w14:paraId="6E06CE6C" w14:textId="77777777" w:rsidR="00B901A1" w:rsidRPr="00DA1ABB" w:rsidRDefault="00B901A1" w:rsidP="00BE3661">
      <w:pPr>
        <w:widowControl/>
        <w:pBdr>
          <w:bottom w:val="single" w:sz="4" w:space="1" w:color="auto"/>
        </w:pBdr>
        <w:rPr>
          <w:b/>
          <w:color w:val="000000" w:themeColor="text1"/>
          <w:sz w:val="20"/>
        </w:rPr>
      </w:pPr>
      <w:r w:rsidRPr="00DA1ABB">
        <w:rPr>
          <w:rFonts w:cs="Arial"/>
          <w:b/>
          <w:color w:val="000000" w:themeColor="text1"/>
          <w:sz w:val="20"/>
        </w:rPr>
        <w:t xml:space="preserve">Food Standards (Application </w:t>
      </w:r>
      <w:r>
        <w:rPr>
          <w:b/>
          <w:color w:val="000000" w:themeColor="text1"/>
          <w:sz w:val="20"/>
        </w:rPr>
        <w:t>A1138</w:t>
      </w:r>
      <w:r w:rsidRPr="00DA1ABB">
        <w:rPr>
          <w:b/>
          <w:color w:val="000000" w:themeColor="text1"/>
          <w:sz w:val="20"/>
        </w:rPr>
        <w:t xml:space="preserve"> –</w:t>
      </w:r>
      <w:r w:rsidRPr="00DA1ABB">
        <w:rPr>
          <w:color w:val="000000" w:themeColor="text1"/>
        </w:rPr>
        <w:t xml:space="preserve"> </w:t>
      </w:r>
      <w:r>
        <w:rPr>
          <w:b/>
          <w:bCs/>
          <w:color w:val="000000" w:themeColor="text1"/>
          <w:sz w:val="20"/>
        </w:rPr>
        <w:t xml:space="preserve">Food derived from Provitamin </w:t>
      </w:r>
      <w:proofErr w:type="gramStart"/>
      <w:r>
        <w:rPr>
          <w:b/>
          <w:bCs/>
          <w:color w:val="000000" w:themeColor="text1"/>
          <w:sz w:val="20"/>
        </w:rPr>
        <w:t>A</w:t>
      </w:r>
      <w:proofErr w:type="gramEnd"/>
      <w:r>
        <w:rPr>
          <w:b/>
          <w:bCs/>
          <w:color w:val="000000" w:themeColor="text1"/>
          <w:sz w:val="20"/>
        </w:rPr>
        <w:t xml:space="preserve"> Rice Line GR2E</w:t>
      </w:r>
      <w:r w:rsidRPr="00DA1ABB">
        <w:rPr>
          <w:rFonts w:cs="Arial"/>
          <w:b/>
          <w:color w:val="000000" w:themeColor="text1"/>
          <w:sz w:val="20"/>
        </w:rPr>
        <w:t>)</w:t>
      </w:r>
      <w:r w:rsidRPr="00DA1ABB">
        <w:rPr>
          <w:b/>
          <w:color w:val="000000" w:themeColor="text1"/>
          <w:sz w:val="20"/>
        </w:rPr>
        <w:t xml:space="preserve"> Variation</w:t>
      </w:r>
    </w:p>
    <w:p w14:paraId="1629F721" w14:textId="77777777" w:rsidR="00B901A1" w:rsidRPr="00DA1ABB" w:rsidRDefault="00B901A1" w:rsidP="00BE3661">
      <w:pPr>
        <w:widowControl/>
        <w:pBdr>
          <w:bottom w:val="single" w:sz="4" w:space="1" w:color="auto"/>
        </w:pBdr>
        <w:rPr>
          <w:b/>
          <w:color w:val="000000" w:themeColor="text1"/>
          <w:sz w:val="20"/>
        </w:rPr>
      </w:pPr>
    </w:p>
    <w:p w14:paraId="62FA640F" w14:textId="77777777" w:rsidR="00B901A1" w:rsidRPr="00DA1ABB" w:rsidRDefault="00B901A1" w:rsidP="00BE3661">
      <w:pPr>
        <w:widowControl/>
        <w:rPr>
          <w:color w:val="000000" w:themeColor="text1"/>
          <w:sz w:val="20"/>
        </w:rPr>
      </w:pPr>
    </w:p>
    <w:p w14:paraId="3ADD80B2" w14:textId="77777777" w:rsidR="00B901A1" w:rsidRPr="00DA1ABB" w:rsidRDefault="00B901A1" w:rsidP="00BE3661">
      <w:pPr>
        <w:widowControl/>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5E9F000F" w14:textId="77777777" w:rsidR="00B901A1" w:rsidRPr="00DA1ABB" w:rsidRDefault="00B901A1" w:rsidP="00BE3661">
      <w:pPr>
        <w:widowControl/>
        <w:rPr>
          <w:color w:val="000000" w:themeColor="text1"/>
          <w:sz w:val="20"/>
        </w:rPr>
      </w:pPr>
    </w:p>
    <w:p w14:paraId="14D21FA9" w14:textId="77777777" w:rsidR="00B901A1" w:rsidRPr="00DA1ABB" w:rsidRDefault="00B901A1" w:rsidP="00BE3661">
      <w:pPr>
        <w:widowControl/>
        <w:rPr>
          <w:color w:val="000000" w:themeColor="text1"/>
          <w:sz w:val="20"/>
        </w:rPr>
      </w:pPr>
      <w:r w:rsidRPr="00DA1ABB">
        <w:rPr>
          <w:color w:val="000000" w:themeColor="text1"/>
          <w:sz w:val="20"/>
        </w:rPr>
        <w:t>Dated [To be completed by Standards Management Officer]</w:t>
      </w:r>
    </w:p>
    <w:p w14:paraId="5C155290" w14:textId="77777777" w:rsidR="00B901A1" w:rsidRPr="00DA1ABB" w:rsidRDefault="00B901A1" w:rsidP="00BE3661">
      <w:pPr>
        <w:widowControl/>
        <w:rPr>
          <w:color w:val="000000" w:themeColor="text1"/>
          <w:sz w:val="20"/>
        </w:rPr>
      </w:pPr>
    </w:p>
    <w:p w14:paraId="390D32AF" w14:textId="77777777" w:rsidR="00B901A1" w:rsidRPr="00DA1ABB" w:rsidRDefault="00B901A1" w:rsidP="00BE3661">
      <w:pPr>
        <w:widowControl/>
        <w:rPr>
          <w:color w:val="000000" w:themeColor="text1"/>
          <w:sz w:val="20"/>
        </w:rPr>
      </w:pPr>
    </w:p>
    <w:p w14:paraId="4A5E2B48" w14:textId="77777777" w:rsidR="00B901A1" w:rsidRPr="00DA1ABB" w:rsidRDefault="00B901A1" w:rsidP="00BE3661">
      <w:pPr>
        <w:widowControl/>
        <w:rPr>
          <w:color w:val="000000" w:themeColor="text1"/>
          <w:sz w:val="20"/>
        </w:rPr>
      </w:pPr>
    </w:p>
    <w:p w14:paraId="19AF3C7B" w14:textId="77777777" w:rsidR="00B901A1" w:rsidRPr="00DA1ABB" w:rsidRDefault="00B901A1" w:rsidP="00BE3661">
      <w:pPr>
        <w:widowControl/>
        <w:rPr>
          <w:color w:val="000000" w:themeColor="text1"/>
          <w:sz w:val="20"/>
        </w:rPr>
      </w:pPr>
    </w:p>
    <w:p w14:paraId="72AFED8F" w14:textId="77777777" w:rsidR="00B901A1" w:rsidRPr="00DA1ABB" w:rsidRDefault="00B901A1" w:rsidP="00BE3661">
      <w:pPr>
        <w:widowControl/>
        <w:rPr>
          <w:color w:val="000000" w:themeColor="text1"/>
          <w:sz w:val="20"/>
        </w:rPr>
      </w:pPr>
    </w:p>
    <w:p w14:paraId="62396D99" w14:textId="77777777" w:rsidR="00B901A1" w:rsidRPr="00DA1ABB" w:rsidRDefault="00B901A1" w:rsidP="00BE3661">
      <w:pPr>
        <w:widowControl/>
        <w:rPr>
          <w:color w:val="000000" w:themeColor="text1"/>
          <w:sz w:val="20"/>
        </w:rPr>
      </w:pPr>
      <w:r w:rsidRPr="00DA1ABB">
        <w:rPr>
          <w:color w:val="000000" w:themeColor="text1"/>
          <w:sz w:val="20"/>
        </w:rPr>
        <w:t>Standards Management Officer</w:t>
      </w:r>
    </w:p>
    <w:p w14:paraId="502E80F0" w14:textId="77777777" w:rsidR="00B901A1" w:rsidRPr="00DA1ABB" w:rsidRDefault="00B901A1" w:rsidP="00BE3661">
      <w:pPr>
        <w:widowControl/>
        <w:rPr>
          <w:color w:val="000000" w:themeColor="text1"/>
          <w:sz w:val="20"/>
        </w:rPr>
      </w:pPr>
      <w:r w:rsidRPr="00DA1ABB">
        <w:rPr>
          <w:color w:val="000000" w:themeColor="text1"/>
          <w:sz w:val="20"/>
        </w:rPr>
        <w:t>Delegate of the Board of Food Standards Australia New Zealand</w:t>
      </w:r>
    </w:p>
    <w:p w14:paraId="231568C8" w14:textId="77777777" w:rsidR="00B901A1" w:rsidRPr="00DA1ABB" w:rsidRDefault="00B901A1" w:rsidP="00BE3661">
      <w:pPr>
        <w:widowControl/>
        <w:rPr>
          <w:color w:val="000000" w:themeColor="text1"/>
          <w:sz w:val="20"/>
        </w:rPr>
      </w:pPr>
    </w:p>
    <w:p w14:paraId="07618239" w14:textId="77777777" w:rsidR="00B901A1" w:rsidRPr="00296F74" w:rsidRDefault="00B901A1" w:rsidP="00BE3661">
      <w:pPr>
        <w:widowControl/>
        <w:rPr>
          <w:sz w:val="20"/>
        </w:rPr>
      </w:pPr>
    </w:p>
    <w:p w14:paraId="42CD75B6" w14:textId="77777777" w:rsidR="00B901A1" w:rsidRPr="00296F74" w:rsidRDefault="00B901A1" w:rsidP="00BE3661">
      <w:pPr>
        <w:widowControl/>
        <w:rPr>
          <w:sz w:val="20"/>
        </w:rPr>
      </w:pPr>
    </w:p>
    <w:p w14:paraId="5F299903" w14:textId="77777777" w:rsidR="00B901A1" w:rsidRPr="00296F74" w:rsidRDefault="00B901A1" w:rsidP="00BE3661">
      <w:pPr>
        <w:widowControl/>
        <w:rPr>
          <w:sz w:val="20"/>
        </w:rPr>
      </w:pPr>
    </w:p>
    <w:p w14:paraId="59DFF662" w14:textId="77777777" w:rsidR="00B901A1" w:rsidRPr="00296F74" w:rsidRDefault="00B901A1" w:rsidP="00BE3661">
      <w:pPr>
        <w:widowControl/>
        <w:rPr>
          <w:sz w:val="20"/>
        </w:rPr>
      </w:pPr>
    </w:p>
    <w:p w14:paraId="7FFBF5D3" w14:textId="77777777" w:rsidR="00B901A1" w:rsidRPr="00296F74" w:rsidRDefault="00B901A1" w:rsidP="00BE3661">
      <w:pPr>
        <w:widowControl/>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001292E5" w14:textId="77777777" w:rsidR="00B901A1" w:rsidRPr="00296F74" w:rsidRDefault="00B901A1" w:rsidP="00BE3661">
      <w:pPr>
        <w:widowControl/>
        <w:pBdr>
          <w:top w:val="single" w:sz="6" w:space="0" w:color="auto"/>
          <w:left w:val="single" w:sz="6" w:space="0" w:color="auto"/>
          <w:bottom w:val="single" w:sz="6" w:space="0" w:color="auto"/>
          <w:right w:val="single" w:sz="6" w:space="0" w:color="auto"/>
        </w:pBdr>
        <w:rPr>
          <w:sz w:val="20"/>
          <w:lang w:val="en-AU"/>
        </w:rPr>
      </w:pPr>
    </w:p>
    <w:p w14:paraId="639A1C9A" w14:textId="77777777" w:rsidR="00B901A1" w:rsidRPr="00296F74" w:rsidRDefault="00B901A1" w:rsidP="00BE3661">
      <w:pPr>
        <w:widowControl/>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w:t>
      </w:r>
      <w:proofErr w:type="gramStart"/>
      <w:r w:rsidRPr="00296F74">
        <w:rPr>
          <w:sz w:val="20"/>
          <w:lang w:val="en-AU"/>
        </w:rPr>
        <w:t xml:space="preserve">FSC </w:t>
      </w:r>
      <w:r w:rsidRPr="00296F74">
        <w:rPr>
          <w:color w:val="FF0000"/>
          <w:sz w:val="20"/>
          <w:lang w:val="en-AU"/>
        </w:rPr>
        <w:t>XX on XX Month 20XX</w:t>
      </w:r>
      <w:r w:rsidRPr="00296F74">
        <w:rPr>
          <w:sz w:val="20"/>
          <w:lang w:val="en-AU"/>
        </w:rPr>
        <w:t>.</w:t>
      </w:r>
      <w:proofErr w:type="gramEnd"/>
      <w:r w:rsidRPr="00296F74">
        <w:rPr>
          <w:sz w:val="20"/>
          <w:lang w:val="en-AU"/>
        </w:rPr>
        <w:t xml:space="preserve"> This means that this date is the gazettal date for the purposes of the above notice.</w:t>
      </w:r>
    </w:p>
    <w:p w14:paraId="2A482FBE" w14:textId="77777777" w:rsidR="00B901A1" w:rsidRPr="00296F74" w:rsidRDefault="00B901A1" w:rsidP="00BE3661">
      <w:pPr>
        <w:widowControl/>
      </w:pPr>
    </w:p>
    <w:p w14:paraId="2E5C4D70" w14:textId="77777777" w:rsidR="00B901A1" w:rsidRDefault="00B901A1" w:rsidP="00BE3661">
      <w:pPr>
        <w:widowControl/>
      </w:pPr>
      <w:r w:rsidRPr="00296F74">
        <w:br w:type="page"/>
      </w:r>
    </w:p>
    <w:p w14:paraId="65977218" w14:textId="77777777" w:rsidR="00532609" w:rsidRPr="006C1225" w:rsidRDefault="00532609" w:rsidP="00532609">
      <w:pPr>
        <w:pStyle w:val="FSCDraftingitemheading"/>
      </w:pPr>
      <w:r w:rsidRPr="006C1225">
        <w:lastRenderedPageBreak/>
        <w:t>1</w:t>
      </w:r>
      <w:r w:rsidRPr="006C1225">
        <w:tab/>
        <w:t>Name</w:t>
      </w:r>
    </w:p>
    <w:p w14:paraId="7E00E2D9" w14:textId="77777777" w:rsidR="00532609" w:rsidRPr="00DA1ABB" w:rsidRDefault="00532609" w:rsidP="00532609">
      <w:pPr>
        <w:pStyle w:val="FSCDraftingitem"/>
      </w:pPr>
      <w:r w:rsidRPr="00DA1ABB">
        <w:t xml:space="preserve">This instrument is the </w:t>
      </w:r>
      <w:r w:rsidRPr="00E5420E">
        <w:rPr>
          <w:i/>
        </w:rPr>
        <w:t>F</w:t>
      </w:r>
      <w:r>
        <w:rPr>
          <w:i/>
        </w:rPr>
        <w:t>ood Standards (Application A1138</w:t>
      </w:r>
      <w:r w:rsidRPr="00EC7738">
        <w:rPr>
          <w:i/>
        </w:rPr>
        <w:t xml:space="preserve"> – Food derived from</w:t>
      </w:r>
      <w:r>
        <w:rPr>
          <w:i/>
        </w:rPr>
        <w:t xml:space="preserve"> Provitamin </w:t>
      </w:r>
      <w:proofErr w:type="gramStart"/>
      <w:r>
        <w:rPr>
          <w:i/>
        </w:rPr>
        <w:t>A</w:t>
      </w:r>
      <w:proofErr w:type="gramEnd"/>
      <w:r>
        <w:rPr>
          <w:i/>
        </w:rPr>
        <w:t xml:space="preserve"> Rice Line GR2E</w:t>
      </w:r>
      <w:r w:rsidRPr="00EC7738">
        <w:rPr>
          <w:i/>
        </w:rPr>
        <w:t>) Variation</w:t>
      </w:r>
      <w:r w:rsidRPr="00DA1ABB">
        <w:t>.</w:t>
      </w:r>
    </w:p>
    <w:p w14:paraId="030BA0C3" w14:textId="77777777" w:rsidR="00532609" w:rsidRPr="00DA1ABB" w:rsidRDefault="00532609" w:rsidP="00532609">
      <w:pPr>
        <w:pStyle w:val="FSCDraftingitemheading"/>
      </w:pPr>
      <w:r w:rsidRPr="00DA1ABB">
        <w:t>2</w:t>
      </w:r>
      <w:r w:rsidRPr="00DA1ABB">
        <w:tab/>
        <w:t xml:space="preserve">Variation to a Standard in the </w:t>
      </w:r>
      <w:r w:rsidRPr="00EC7738">
        <w:rPr>
          <w:i/>
        </w:rPr>
        <w:t>Australia New Zealand Food Standards Code</w:t>
      </w:r>
    </w:p>
    <w:p w14:paraId="70230AF7" w14:textId="77777777" w:rsidR="00532609" w:rsidRPr="00DA1ABB" w:rsidRDefault="00532609" w:rsidP="00532609">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0B68936E" w14:textId="77777777" w:rsidR="00532609" w:rsidRPr="00EC7738" w:rsidRDefault="00532609" w:rsidP="00532609">
      <w:pPr>
        <w:pStyle w:val="FSCDraftingitemheading"/>
      </w:pPr>
      <w:r w:rsidRPr="00DA1ABB">
        <w:t>3</w:t>
      </w:r>
      <w:r w:rsidRPr="00DA1ABB">
        <w:tab/>
        <w:t>Commencement</w:t>
      </w:r>
    </w:p>
    <w:p w14:paraId="45ECAA5E" w14:textId="77777777" w:rsidR="00532609" w:rsidRPr="00DA1ABB" w:rsidRDefault="00532609" w:rsidP="00532609">
      <w:pPr>
        <w:pStyle w:val="FSCDraftingitem"/>
      </w:pPr>
      <w:r w:rsidRPr="00DA1ABB">
        <w:t>The variation commences on the date of gazettal.</w:t>
      </w:r>
    </w:p>
    <w:p w14:paraId="2350B5F6" w14:textId="77777777" w:rsidR="00532609" w:rsidRDefault="00532609" w:rsidP="00532609">
      <w:pPr>
        <w:pStyle w:val="FSCDraftingitemheading"/>
        <w:jc w:val="center"/>
      </w:pPr>
      <w:r w:rsidRPr="00EC7738">
        <w:t>Schedule</w:t>
      </w:r>
    </w:p>
    <w:p w14:paraId="446EA766" w14:textId="1B485CB5" w:rsidR="004A4D29" w:rsidRDefault="00532609" w:rsidP="004A4D29">
      <w:pPr>
        <w:pStyle w:val="FSCDraftingitemheading"/>
        <w:rPr>
          <w:b w:val="0"/>
        </w:rPr>
      </w:pPr>
      <w:r w:rsidRPr="002F3FB5">
        <w:t>[1]</w:t>
      </w:r>
      <w:r w:rsidRPr="002F3FB5">
        <w:tab/>
      </w:r>
      <w:r w:rsidR="004A4D29">
        <w:t xml:space="preserve">Standard 1.5.2 </w:t>
      </w:r>
      <w:r w:rsidR="004A4D29" w:rsidRPr="004A4D29">
        <w:rPr>
          <w:b w:val="0"/>
        </w:rPr>
        <w:t>is varied by</w:t>
      </w:r>
      <w:r w:rsidR="004A4D29">
        <w:rPr>
          <w:b w:val="0"/>
        </w:rPr>
        <w:t xml:space="preserve"> omitting the words ‘subsections S26</w:t>
      </w:r>
      <w:r w:rsidR="004A4D29" w:rsidRPr="002F3FB5">
        <w:rPr>
          <w:b w:val="0"/>
        </w:rPr>
        <w:t>—</w:t>
      </w:r>
      <w:r w:rsidR="004A4D29">
        <w:rPr>
          <w:b w:val="0"/>
        </w:rPr>
        <w:t>3(2) and (3)’ from subparagraph 1.5.2</w:t>
      </w:r>
      <w:r w:rsidR="004A4D29" w:rsidRPr="002F3FB5">
        <w:rPr>
          <w:b w:val="0"/>
        </w:rPr>
        <w:t>—</w:t>
      </w:r>
      <w:r w:rsidR="004A4D29">
        <w:rPr>
          <w:b w:val="0"/>
        </w:rPr>
        <w:t>4(1</w:t>
      </w:r>
      <w:proofErr w:type="gramStart"/>
      <w:r w:rsidR="004A4D29">
        <w:rPr>
          <w:b w:val="0"/>
        </w:rPr>
        <w:t>)(</w:t>
      </w:r>
      <w:proofErr w:type="gramEnd"/>
      <w:r w:rsidR="004A4D29">
        <w:rPr>
          <w:b w:val="0"/>
        </w:rPr>
        <w:t>a)(ii), substituting ‘section S26</w:t>
      </w:r>
      <w:r w:rsidR="004A4D29" w:rsidRPr="002F3FB5">
        <w:rPr>
          <w:b w:val="0"/>
        </w:rPr>
        <w:t>—</w:t>
      </w:r>
      <w:r w:rsidR="004A4D29">
        <w:rPr>
          <w:b w:val="0"/>
        </w:rPr>
        <w:t>3’.</w:t>
      </w:r>
    </w:p>
    <w:p w14:paraId="5A8B6BE4" w14:textId="77777777" w:rsidR="004A4D29" w:rsidRPr="004A4D29" w:rsidRDefault="004A4D29" w:rsidP="004A4D29">
      <w:pPr>
        <w:pStyle w:val="FSCDraftingitemheading"/>
        <w:rPr>
          <w:b w:val="0"/>
        </w:rPr>
      </w:pPr>
    </w:p>
    <w:p w14:paraId="6A6161BA" w14:textId="17B48959" w:rsidR="00532609" w:rsidRDefault="004A4D29" w:rsidP="00532609">
      <w:pPr>
        <w:pStyle w:val="FSCDraftingitemheading"/>
        <w:rPr>
          <w:b w:val="0"/>
        </w:rPr>
      </w:pPr>
      <w:r>
        <w:t>[2]</w:t>
      </w:r>
      <w:r>
        <w:tab/>
      </w:r>
      <w:r w:rsidR="00532609" w:rsidRPr="002F3FB5">
        <w:t xml:space="preserve">Schedule 26 </w:t>
      </w:r>
      <w:r w:rsidR="00532609" w:rsidRPr="002F3FB5">
        <w:rPr>
          <w:b w:val="0"/>
        </w:rPr>
        <w:t xml:space="preserve">is varied by </w:t>
      </w:r>
    </w:p>
    <w:p w14:paraId="34EF01B9" w14:textId="77777777" w:rsidR="00532609" w:rsidRPr="002F3FB5" w:rsidRDefault="00532609">
      <w:pPr>
        <w:pStyle w:val="FSCDraftingitemheading"/>
        <w:ind w:left="0" w:firstLine="0"/>
        <w:rPr>
          <w:b w:val="0"/>
        </w:rPr>
      </w:pPr>
    </w:p>
    <w:p w14:paraId="5021F84A" w14:textId="2E8D15B8" w:rsidR="00532609" w:rsidRDefault="00532609" w:rsidP="00532609">
      <w:pPr>
        <w:pStyle w:val="FSCDraftingitemheading"/>
        <w:rPr>
          <w:b w:val="0"/>
        </w:rPr>
      </w:pPr>
      <w:r w:rsidRPr="002F3FB5">
        <w:t>[</w:t>
      </w:r>
      <w:r w:rsidR="00D37454">
        <w:t>2</w:t>
      </w:r>
      <w:r w:rsidRPr="002F3FB5">
        <w:t>.1]</w:t>
      </w:r>
      <w:r w:rsidRPr="002F3FB5">
        <w:rPr>
          <w:b w:val="0"/>
        </w:rPr>
        <w:tab/>
        <w:t xml:space="preserve">inserting </w:t>
      </w:r>
      <w:r w:rsidR="00BF700E">
        <w:rPr>
          <w:b w:val="0"/>
        </w:rPr>
        <w:t xml:space="preserve">after the Note to </w:t>
      </w:r>
      <w:r w:rsidRPr="002F3FB5">
        <w:rPr>
          <w:b w:val="0"/>
        </w:rPr>
        <w:t xml:space="preserve">subsection S26—3(2) </w:t>
      </w:r>
    </w:p>
    <w:p w14:paraId="2BF126BA" w14:textId="70F47D24" w:rsidR="005665D6" w:rsidRPr="001D1563" w:rsidRDefault="005665D6" w:rsidP="005665D6">
      <w:pPr>
        <w:pStyle w:val="FSCtMain"/>
      </w:pPr>
      <w:r>
        <w:tab/>
        <w:t>(2A)</w:t>
      </w:r>
      <w:r>
        <w:tab/>
        <w:t xml:space="preserve">Products </w:t>
      </w:r>
      <w:r w:rsidR="00DD09DF">
        <w:t>containing beta-carotene from i</w:t>
      </w:r>
      <w:r w:rsidR="001C163D">
        <w:t xml:space="preserve">tem 6(b) </w:t>
      </w:r>
      <w:r>
        <w:t>are subject to the condition that their labelling must comply with section 1.5</w:t>
      </w:r>
      <w:r w:rsidRPr="00D2783A">
        <w:t>.2—4</w:t>
      </w:r>
    </w:p>
    <w:p w14:paraId="26BF5838" w14:textId="77777777" w:rsidR="005665D6" w:rsidRPr="002F3FB5" w:rsidRDefault="005665D6" w:rsidP="00532609">
      <w:pPr>
        <w:pStyle w:val="FSCDraftingitemheading"/>
        <w:rPr>
          <w:b w:val="0"/>
        </w:rPr>
      </w:pPr>
    </w:p>
    <w:p w14:paraId="4928BFD2" w14:textId="6E71B6E6" w:rsidR="00532609" w:rsidRPr="00DA1ABB" w:rsidRDefault="00532609" w:rsidP="00532609">
      <w:pPr>
        <w:pStyle w:val="FSCDraftingitem"/>
      </w:pPr>
      <w:r>
        <w:rPr>
          <w:b/>
        </w:rPr>
        <w:t>[</w:t>
      </w:r>
      <w:r w:rsidR="00D37454">
        <w:rPr>
          <w:b/>
        </w:rPr>
        <w:t>2</w:t>
      </w:r>
      <w:r>
        <w:rPr>
          <w:b/>
        </w:rPr>
        <w:t>.2</w:t>
      </w:r>
      <w:r w:rsidRPr="00DA1ABB">
        <w:rPr>
          <w:b/>
        </w:rPr>
        <w:t>]</w:t>
      </w:r>
      <w:r w:rsidRPr="00DA1ABB">
        <w:rPr>
          <w:b/>
        </w:rPr>
        <w:tab/>
      </w:r>
      <w:r w:rsidRPr="00DA1ABB">
        <w:t>inserting in the table to subsection S26—3(4)</w:t>
      </w:r>
      <w:r w:rsidR="0005046F">
        <w:t>,</w:t>
      </w:r>
      <w:r w:rsidRPr="00DA1ABB">
        <w:t xml:space="preserve"> in</w:t>
      </w:r>
      <w:r>
        <w:t xml:space="preserve"> alphabetical order under item 6</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532609" w:rsidRPr="00DA1ABB" w14:paraId="632D86D4" w14:textId="77777777" w:rsidTr="00C332CC">
        <w:trPr>
          <w:cantSplit/>
        </w:trPr>
        <w:tc>
          <w:tcPr>
            <w:tcW w:w="903" w:type="dxa"/>
          </w:tcPr>
          <w:p w14:paraId="3B53CA69" w14:textId="77777777" w:rsidR="00532609" w:rsidRPr="00DA1ABB" w:rsidRDefault="00532609" w:rsidP="00C332CC">
            <w:pPr>
              <w:pStyle w:val="FSCtblPara"/>
              <w:rPr>
                <w:color w:val="000000" w:themeColor="text1"/>
              </w:rPr>
            </w:pPr>
          </w:p>
        </w:tc>
        <w:tc>
          <w:tcPr>
            <w:tcW w:w="1190" w:type="dxa"/>
          </w:tcPr>
          <w:p w14:paraId="1888DFEF" w14:textId="77777777" w:rsidR="00532609" w:rsidRPr="00DA1ABB" w:rsidRDefault="00532609" w:rsidP="00C332CC">
            <w:pPr>
              <w:pStyle w:val="FSCtblPara"/>
              <w:rPr>
                <w:color w:val="000000" w:themeColor="text1"/>
              </w:rPr>
            </w:pPr>
          </w:p>
        </w:tc>
        <w:tc>
          <w:tcPr>
            <w:tcW w:w="6979" w:type="dxa"/>
          </w:tcPr>
          <w:p w14:paraId="560399BB" w14:textId="77777777" w:rsidR="00532609" w:rsidRPr="00DA1ABB" w:rsidRDefault="00532609" w:rsidP="00C332CC">
            <w:pPr>
              <w:pStyle w:val="FSCtblPara"/>
            </w:pPr>
            <w:r>
              <w:t>(b</w:t>
            </w:r>
            <w:r w:rsidRPr="00DA1ABB">
              <w:t xml:space="preserve">) </w:t>
            </w:r>
            <w:r w:rsidRPr="00DA1ABB">
              <w:tab/>
            </w:r>
            <w:r>
              <w:t>provitamin A rice line GR2E</w:t>
            </w:r>
          </w:p>
        </w:tc>
      </w:tr>
    </w:tbl>
    <w:p w14:paraId="22C3E7D4" w14:textId="77777777" w:rsidR="00B901A1" w:rsidRPr="00296F74" w:rsidRDefault="00B901A1" w:rsidP="00BE3661">
      <w:pPr>
        <w:widowControl/>
      </w:pPr>
      <w:r w:rsidRPr="00296F74">
        <w:br w:type="page"/>
      </w:r>
    </w:p>
    <w:p w14:paraId="5E46DE58" w14:textId="77777777" w:rsidR="00AB0275" w:rsidRDefault="002C4A91" w:rsidP="00BE3661">
      <w:pPr>
        <w:pStyle w:val="Heading2"/>
        <w:widowControl/>
        <w:ind w:left="0" w:firstLine="0"/>
      </w:pPr>
      <w:bookmarkStart w:id="95" w:name="_Toc488316698"/>
      <w:r w:rsidRPr="00932F14">
        <w:lastRenderedPageBreak/>
        <w:t xml:space="preserve">Attachment </w:t>
      </w:r>
      <w:r>
        <w:t xml:space="preserve">B – </w:t>
      </w:r>
      <w:r w:rsidR="00AB0275">
        <w:t>Draft Explanatory Statement</w:t>
      </w:r>
      <w:bookmarkEnd w:id="95"/>
    </w:p>
    <w:p w14:paraId="5FCCBD85" w14:textId="77777777" w:rsidR="00B901A1" w:rsidRPr="001A695A" w:rsidRDefault="00B901A1" w:rsidP="00BE3661">
      <w:pPr>
        <w:widowControl/>
        <w:rPr>
          <w:b/>
          <w:lang w:val="en-AU"/>
        </w:rPr>
      </w:pPr>
      <w:r w:rsidRPr="001A695A">
        <w:rPr>
          <w:b/>
          <w:lang w:val="en-AU"/>
        </w:rPr>
        <w:t>1.</w:t>
      </w:r>
      <w:r w:rsidRPr="001A695A">
        <w:rPr>
          <w:b/>
          <w:lang w:val="en-AU"/>
        </w:rPr>
        <w:tab/>
        <w:t>Authority</w:t>
      </w:r>
    </w:p>
    <w:p w14:paraId="4C8F7234" w14:textId="77777777" w:rsidR="00B901A1" w:rsidRPr="001A695A" w:rsidRDefault="00B901A1" w:rsidP="00BE3661">
      <w:pPr>
        <w:widowControl/>
        <w:rPr>
          <w:lang w:val="en-AU"/>
        </w:rPr>
      </w:pPr>
    </w:p>
    <w:p w14:paraId="361D1B65" w14:textId="77777777" w:rsidR="00B901A1" w:rsidRPr="001A695A" w:rsidRDefault="00B901A1" w:rsidP="00BE3661">
      <w:pPr>
        <w:widowControl/>
        <w:autoSpaceDE w:val="0"/>
        <w:autoSpaceDN w:val="0"/>
        <w:adjustRightInd w:val="0"/>
        <w:rPr>
          <w:rFonts w:eastAsia="Calibri" w:cs="Arial"/>
          <w:bCs/>
          <w:lang w:val="en-AU"/>
        </w:rPr>
      </w:pPr>
      <w:r w:rsidRPr="001A695A">
        <w:rPr>
          <w:rFonts w:eastAsia="Calibri" w:cs="Arial"/>
          <w:bCs/>
          <w:lang w:val="en-AU"/>
        </w:rPr>
        <w:t xml:space="preserve">Section 13 of the </w:t>
      </w:r>
      <w:r w:rsidRPr="001A695A">
        <w:rPr>
          <w:rFonts w:eastAsia="Calibri" w:cs="Arial"/>
          <w:bCs/>
          <w:i/>
          <w:lang w:val="en-AU"/>
        </w:rPr>
        <w:t>Food Standards Australia New Zealand Act 1991</w:t>
      </w:r>
      <w:r w:rsidRPr="001A695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A695A">
        <w:rPr>
          <w:rFonts w:eastAsia="Calibri" w:cs="Arial"/>
          <w:bCs/>
          <w:i/>
          <w:lang w:val="en-AU"/>
        </w:rPr>
        <w:t>Australia New Zealand Food Standards Code</w:t>
      </w:r>
      <w:r w:rsidRPr="001A695A">
        <w:rPr>
          <w:rFonts w:eastAsia="Calibri" w:cs="Arial"/>
          <w:bCs/>
          <w:lang w:val="en-AU"/>
        </w:rPr>
        <w:t xml:space="preserve"> (the Code).</w:t>
      </w:r>
    </w:p>
    <w:p w14:paraId="15B0B7C1" w14:textId="77777777" w:rsidR="00B901A1" w:rsidRPr="001A695A" w:rsidRDefault="00B901A1" w:rsidP="00BE3661">
      <w:pPr>
        <w:widowControl/>
        <w:autoSpaceDE w:val="0"/>
        <w:autoSpaceDN w:val="0"/>
        <w:adjustRightInd w:val="0"/>
        <w:rPr>
          <w:rFonts w:eastAsia="Calibri" w:cs="Arial"/>
          <w:bCs/>
          <w:lang w:val="en-AU"/>
        </w:rPr>
      </w:pPr>
    </w:p>
    <w:p w14:paraId="37861439" w14:textId="77777777" w:rsidR="00B901A1" w:rsidRPr="001A695A" w:rsidRDefault="00B901A1" w:rsidP="00BE3661">
      <w:pPr>
        <w:widowControl/>
        <w:autoSpaceDE w:val="0"/>
        <w:autoSpaceDN w:val="0"/>
        <w:adjustRightInd w:val="0"/>
        <w:rPr>
          <w:rFonts w:eastAsia="Calibri" w:cs="Arial"/>
          <w:bCs/>
          <w:lang w:val="en-AU"/>
        </w:rPr>
      </w:pPr>
      <w:r w:rsidRPr="001A695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DC28F85" w14:textId="77777777" w:rsidR="00B901A1" w:rsidRPr="001A695A" w:rsidRDefault="00B901A1" w:rsidP="00BE3661">
      <w:pPr>
        <w:widowControl/>
        <w:autoSpaceDE w:val="0"/>
        <w:autoSpaceDN w:val="0"/>
        <w:adjustRightInd w:val="0"/>
        <w:rPr>
          <w:rFonts w:eastAsia="Calibri" w:cs="Arial"/>
          <w:bCs/>
          <w:lang w:val="en-AU"/>
        </w:rPr>
      </w:pPr>
    </w:p>
    <w:p w14:paraId="1C08BFBB" w14:textId="77777777" w:rsidR="00B901A1" w:rsidRDefault="00B901A1" w:rsidP="00BE3661">
      <w:pPr>
        <w:widowControl/>
        <w:autoSpaceDE w:val="0"/>
        <w:autoSpaceDN w:val="0"/>
        <w:adjustRightInd w:val="0"/>
        <w:rPr>
          <w:rFonts w:eastAsia="Calibri" w:cs="Arial"/>
          <w:bCs/>
          <w:color w:val="000000" w:themeColor="text1"/>
          <w:szCs w:val="22"/>
        </w:rPr>
      </w:pPr>
      <w:r w:rsidRPr="001A695A">
        <w:rPr>
          <w:rFonts w:eastAsia="Calibri" w:cs="Arial"/>
          <w:bCs/>
          <w:lang w:val="en-AU"/>
        </w:rPr>
        <w:t>The Authority</w:t>
      </w:r>
      <w:r>
        <w:rPr>
          <w:rFonts w:eastAsia="Calibri" w:cs="Arial"/>
          <w:bCs/>
          <w:lang w:val="en-AU"/>
        </w:rPr>
        <w:t xml:space="preserve"> accepted Application A1138</w:t>
      </w:r>
      <w:r w:rsidRPr="001A695A">
        <w:rPr>
          <w:rFonts w:eastAsia="Calibri" w:cs="Arial"/>
          <w:bCs/>
          <w:lang w:val="en-AU"/>
        </w:rPr>
        <w:t xml:space="preserve"> which seeks </w:t>
      </w:r>
      <w:r w:rsidRPr="001A695A">
        <w:t xml:space="preserve">permission for the sale and use of food derived from </w:t>
      </w:r>
      <w:r>
        <w:rPr>
          <w:rFonts w:eastAsia="Calibri" w:cs="Arial"/>
          <w:bCs/>
          <w:color w:val="000000" w:themeColor="text1"/>
          <w:szCs w:val="22"/>
        </w:rPr>
        <w:t xml:space="preserve">a genetically modified rice line, GR2E, which produces provitamin A in the grain. </w:t>
      </w:r>
      <w:r w:rsidRPr="00B0301E">
        <w:rPr>
          <w:rFonts w:eastAsia="Calibri" w:cs="Arial"/>
          <w:bCs/>
          <w:color w:val="000000" w:themeColor="text1"/>
          <w:szCs w:val="22"/>
          <w:lang w:val="en-AU"/>
        </w:rPr>
        <w:t>The Authority considered the Application in accordance with Divis</w:t>
      </w:r>
      <w:r>
        <w:rPr>
          <w:rFonts w:eastAsia="Calibri" w:cs="Arial"/>
          <w:bCs/>
          <w:color w:val="000000" w:themeColor="text1"/>
          <w:szCs w:val="22"/>
          <w:lang w:val="en-AU"/>
        </w:rPr>
        <w:t>ion 1 of Part 3 and has prepared</w:t>
      </w:r>
      <w:r w:rsidRPr="00B0301E">
        <w:rPr>
          <w:rFonts w:eastAsia="Calibri" w:cs="Arial"/>
          <w:bCs/>
          <w:color w:val="000000" w:themeColor="text1"/>
          <w:szCs w:val="22"/>
          <w:lang w:val="en-AU"/>
        </w:rPr>
        <w:t xml:space="preserve"> a draft variation.</w:t>
      </w:r>
    </w:p>
    <w:p w14:paraId="16B01751" w14:textId="77777777" w:rsidR="00B901A1" w:rsidRPr="001A695A" w:rsidRDefault="00B901A1" w:rsidP="00BE3661">
      <w:pPr>
        <w:widowControl/>
        <w:autoSpaceDE w:val="0"/>
        <w:autoSpaceDN w:val="0"/>
        <w:adjustRightInd w:val="0"/>
        <w:rPr>
          <w:rFonts w:eastAsia="Calibri" w:cs="Arial"/>
          <w:bCs/>
          <w:lang w:val="en-AU"/>
        </w:rPr>
      </w:pPr>
    </w:p>
    <w:p w14:paraId="7C7B429B" w14:textId="77777777" w:rsidR="00B901A1" w:rsidRPr="001A695A" w:rsidRDefault="00B901A1" w:rsidP="00BE3661">
      <w:pPr>
        <w:widowControl/>
        <w:rPr>
          <w:b/>
          <w:lang w:val="en-AU"/>
        </w:rPr>
      </w:pPr>
      <w:r w:rsidRPr="001A695A">
        <w:rPr>
          <w:b/>
          <w:lang w:val="en-AU"/>
        </w:rPr>
        <w:t>2.</w:t>
      </w:r>
      <w:r w:rsidRPr="001A695A">
        <w:rPr>
          <w:b/>
          <w:lang w:val="en-AU"/>
        </w:rPr>
        <w:tab/>
        <w:t xml:space="preserve">Purpose </w:t>
      </w:r>
    </w:p>
    <w:p w14:paraId="1FB73FC1" w14:textId="77777777" w:rsidR="00B901A1" w:rsidRPr="001A695A" w:rsidRDefault="00B901A1" w:rsidP="00BE3661">
      <w:pPr>
        <w:widowControl/>
        <w:rPr>
          <w:lang w:val="en-AU"/>
        </w:rPr>
      </w:pPr>
    </w:p>
    <w:p w14:paraId="541583F0" w14:textId="77777777" w:rsidR="00B901A1" w:rsidRPr="001E0CD5" w:rsidRDefault="00B901A1" w:rsidP="00BE3661">
      <w:pPr>
        <w:widowControl/>
        <w:rPr>
          <w:color w:val="000000" w:themeColor="text1"/>
          <w:lang w:eastAsia="en-GB"/>
        </w:rPr>
      </w:pPr>
      <w:r w:rsidRPr="001E0CD5">
        <w:rPr>
          <w:color w:val="000000" w:themeColor="text1"/>
          <w:lang w:eastAsia="en-GB"/>
        </w:rPr>
        <w:t>The variation inserts a refe</w:t>
      </w:r>
      <w:r>
        <w:rPr>
          <w:color w:val="000000" w:themeColor="text1"/>
          <w:lang w:eastAsia="en-GB"/>
        </w:rPr>
        <w:t xml:space="preserve">rence to provitamin </w:t>
      </w:r>
      <w:proofErr w:type="gramStart"/>
      <w:r>
        <w:rPr>
          <w:color w:val="000000" w:themeColor="text1"/>
          <w:lang w:eastAsia="en-GB"/>
        </w:rPr>
        <w:t>A</w:t>
      </w:r>
      <w:proofErr w:type="gramEnd"/>
      <w:r>
        <w:rPr>
          <w:color w:val="000000" w:themeColor="text1"/>
          <w:lang w:eastAsia="en-GB"/>
        </w:rPr>
        <w:t xml:space="preserve"> rice line GR2E</w:t>
      </w:r>
      <w:r w:rsidRPr="001E0CD5">
        <w:rPr>
          <w:color w:val="000000" w:themeColor="text1"/>
          <w:lang w:eastAsia="en-GB"/>
        </w:rPr>
        <w:t xml:space="preserve"> into Schedule 26 in order to permit the sale, or use in food, </w:t>
      </w:r>
      <w:r>
        <w:rPr>
          <w:color w:val="000000" w:themeColor="text1"/>
          <w:lang w:eastAsia="en-GB"/>
        </w:rPr>
        <w:t>of food derived from that rice</w:t>
      </w:r>
      <w:r w:rsidRPr="001E0CD5">
        <w:rPr>
          <w:color w:val="000000" w:themeColor="text1"/>
          <w:lang w:eastAsia="en-GB"/>
        </w:rPr>
        <w:t xml:space="preserve"> line.</w:t>
      </w:r>
    </w:p>
    <w:p w14:paraId="58736A33" w14:textId="77777777" w:rsidR="00B901A1" w:rsidRPr="001A695A" w:rsidRDefault="00B901A1" w:rsidP="00BE3661">
      <w:pPr>
        <w:widowControl/>
        <w:rPr>
          <w:lang w:val="en-AU"/>
        </w:rPr>
      </w:pPr>
    </w:p>
    <w:p w14:paraId="5EBE0276" w14:textId="77777777" w:rsidR="00B901A1" w:rsidRPr="001A695A" w:rsidRDefault="00B901A1" w:rsidP="00BE3661">
      <w:pPr>
        <w:widowControl/>
        <w:rPr>
          <w:b/>
          <w:lang w:val="en-AU"/>
        </w:rPr>
      </w:pPr>
      <w:r w:rsidRPr="001A695A">
        <w:rPr>
          <w:b/>
          <w:lang w:val="en-AU"/>
        </w:rPr>
        <w:t>3.</w:t>
      </w:r>
      <w:r w:rsidRPr="001A695A">
        <w:rPr>
          <w:b/>
          <w:lang w:val="en-AU"/>
        </w:rPr>
        <w:tab/>
        <w:t>Documents incorporated by reference</w:t>
      </w:r>
    </w:p>
    <w:p w14:paraId="3A716433" w14:textId="77777777" w:rsidR="00B901A1" w:rsidRPr="001A695A" w:rsidRDefault="00B901A1" w:rsidP="00BE3661">
      <w:pPr>
        <w:widowControl/>
        <w:rPr>
          <w:lang w:val="en-AU"/>
        </w:rPr>
      </w:pPr>
    </w:p>
    <w:p w14:paraId="2B1DD19E" w14:textId="77777777" w:rsidR="00B901A1" w:rsidRPr="001A695A" w:rsidRDefault="00B901A1" w:rsidP="00BE3661">
      <w:pPr>
        <w:widowControl/>
        <w:autoSpaceDE w:val="0"/>
        <w:autoSpaceDN w:val="0"/>
        <w:adjustRightInd w:val="0"/>
        <w:rPr>
          <w:rFonts w:eastAsia="Calibri" w:cs="Arial"/>
          <w:bCs/>
          <w:lang w:val="en-AU"/>
        </w:rPr>
      </w:pPr>
      <w:r w:rsidRPr="001A695A">
        <w:rPr>
          <w:rFonts w:eastAsia="Calibri" w:cs="Arial"/>
          <w:bCs/>
          <w:lang w:val="en-AU"/>
        </w:rPr>
        <w:t>The variations to food regulatory measures do not incorporate any documents by reference.</w:t>
      </w:r>
    </w:p>
    <w:p w14:paraId="31FF731D" w14:textId="77777777" w:rsidR="00B901A1" w:rsidRPr="001A695A" w:rsidRDefault="00B901A1" w:rsidP="00BE3661">
      <w:pPr>
        <w:widowControl/>
        <w:rPr>
          <w:lang w:val="en-AU"/>
        </w:rPr>
      </w:pPr>
    </w:p>
    <w:p w14:paraId="2FEFFBC6" w14:textId="77777777" w:rsidR="00B901A1" w:rsidRPr="001A695A" w:rsidRDefault="00B901A1" w:rsidP="00BE3661">
      <w:pPr>
        <w:widowControl/>
        <w:rPr>
          <w:b/>
          <w:lang w:val="en-AU"/>
        </w:rPr>
      </w:pPr>
      <w:r w:rsidRPr="001A695A">
        <w:rPr>
          <w:b/>
          <w:lang w:val="en-AU"/>
        </w:rPr>
        <w:t>4.</w:t>
      </w:r>
      <w:r w:rsidRPr="001A695A">
        <w:rPr>
          <w:b/>
          <w:lang w:val="en-AU"/>
        </w:rPr>
        <w:tab/>
        <w:t>Consultation</w:t>
      </w:r>
    </w:p>
    <w:p w14:paraId="249AA569" w14:textId="77777777" w:rsidR="00B901A1" w:rsidRPr="001A695A" w:rsidRDefault="00B901A1" w:rsidP="00BE3661">
      <w:pPr>
        <w:widowControl/>
        <w:rPr>
          <w:lang w:val="en-AU"/>
        </w:rPr>
      </w:pPr>
    </w:p>
    <w:p w14:paraId="5BC875C0" w14:textId="77777777" w:rsidR="00B901A1" w:rsidRPr="001A695A" w:rsidRDefault="00B901A1" w:rsidP="00BE3661">
      <w:pPr>
        <w:widowControl/>
      </w:pPr>
      <w:r w:rsidRPr="001A695A">
        <w:t>In accordance with the procedure in Division 1 of Part 3 of the FSANZ Act, the Authority’s consideration of Applicati</w:t>
      </w:r>
      <w:r>
        <w:t>on A1138 will</w:t>
      </w:r>
      <w:r w:rsidRPr="001A695A">
        <w:t xml:space="preserve"> include one round of public consultation following an assessment and the preparation of a draft variation. </w:t>
      </w:r>
    </w:p>
    <w:p w14:paraId="345A20F7" w14:textId="77777777" w:rsidR="00B901A1" w:rsidRPr="001A695A" w:rsidRDefault="00B901A1" w:rsidP="00BE3661">
      <w:pPr>
        <w:widowControl/>
      </w:pPr>
    </w:p>
    <w:p w14:paraId="00AF71E3" w14:textId="08F49C70" w:rsidR="00B901A1" w:rsidRPr="001A695A" w:rsidRDefault="00B901A1" w:rsidP="00BE3661">
      <w:pPr>
        <w:widowControl/>
        <w:autoSpaceDE w:val="0"/>
        <w:autoSpaceDN w:val="0"/>
      </w:pPr>
      <w:r w:rsidRPr="001A695A">
        <w:t xml:space="preserve">A Regulation Impact Statement was not required because the sale of food derived from </w:t>
      </w:r>
      <w:r w:rsidR="00713D73">
        <w:t xml:space="preserve">rice line </w:t>
      </w:r>
      <w:r>
        <w:t>GR2E</w:t>
      </w:r>
      <w:r w:rsidRPr="001A695A">
        <w:t xml:space="preserve">, if approved, would be voluntary and would be likely to have a minor impact on business and individuals. </w:t>
      </w:r>
    </w:p>
    <w:p w14:paraId="65B0AFE2" w14:textId="77777777" w:rsidR="00B901A1" w:rsidRPr="001A695A" w:rsidRDefault="00B901A1" w:rsidP="00BE3661">
      <w:pPr>
        <w:widowControl/>
        <w:rPr>
          <w:rFonts w:cs="Arial"/>
          <w:b/>
          <w:bCs/>
          <w:lang w:val="en-AU"/>
        </w:rPr>
      </w:pPr>
    </w:p>
    <w:p w14:paraId="46586790" w14:textId="77777777" w:rsidR="00B901A1" w:rsidRPr="001A695A" w:rsidRDefault="00B901A1" w:rsidP="00BE3661">
      <w:pPr>
        <w:widowControl/>
        <w:rPr>
          <w:rFonts w:cs="Arial"/>
          <w:b/>
          <w:bCs/>
          <w:lang w:val="en-AU"/>
        </w:rPr>
      </w:pPr>
      <w:r w:rsidRPr="001A695A">
        <w:rPr>
          <w:rFonts w:cs="Arial"/>
          <w:b/>
          <w:bCs/>
          <w:lang w:val="en-AU"/>
        </w:rPr>
        <w:t>5.</w:t>
      </w:r>
      <w:r w:rsidRPr="001A695A">
        <w:rPr>
          <w:rFonts w:cs="Arial"/>
          <w:b/>
          <w:bCs/>
          <w:lang w:val="en-AU"/>
        </w:rPr>
        <w:tab/>
        <w:t>Statement of compatibility with human rights</w:t>
      </w:r>
    </w:p>
    <w:p w14:paraId="4889EB49" w14:textId="77777777" w:rsidR="00B901A1" w:rsidRPr="001A695A" w:rsidRDefault="00B901A1" w:rsidP="00BE3661">
      <w:pPr>
        <w:widowControl/>
        <w:rPr>
          <w:lang w:val="en-AU"/>
        </w:rPr>
      </w:pPr>
    </w:p>
    <w:p w14:paraId="6E141F8A" w14:textId="77777777" w:rsidR="00B901A1" w:rsidRPr="001A695A" w:rsidRDefault="00B901A1" w:rsidP="00BE3661">
      <w:pPr>
        <w:widowControl/>
        <w:rPr>
          <w:lang w:val="en-AU"/>
        </w:rPr>
      </w:pPr>
      <w:r w:rsidRPr="001A695A">
        <w:rPr>
          <w:lang w:val="en-AU"/>
        </w:rPr>
        <w:t>This instrument is exempt from the requirements for a statement of compatibility with human rights as it is a non-disallowable instrument under section 94 of the FSANZ Act.</w:t>
      </w:r>
    </w:p>
    <w:p w14:paraId="150AF10A" w14:textId="77777777" w:rsidR="00B901A1" w:rsidRDefault="00B901A1" w:rsidP="00BE3661">
      <w:pPr>
        <w:widowControl/>
        <w:rPr>
          <w:b/>
        </w:rPr>
      </w:pPr>
    </w:p>
    <w:p w14:paraId="5FCDC281" w14:textId="77777777" w:rsidR="00B901A1" w:rsidRPr="001A695A" w:rsidRDefault="00B901A1" w:rsidP="00BE3661">
      <w:pPr>
        <w:widowControl/>
        <w:rPr>
          <w:b/>
          <w:lang w:val="en-AU"/>
        </w:rPr>
      </w:pPr>
      <w:r w:rsidRPr="001A695A">
        <w:rPr>
          <w:b/>
        </w:rPr>
        <w:t>6.</w:t>
      </w:r>
      <w:r w:rsidRPr="001A695A">
        <w:rPr>
          <w:b/>
        </w:rPr>
        <w:tab/>
      </w:r>
      <w:r w:rsidRPr="001A695A">
        <w:rPr>
          <w:b/>
          <w:lang w:val="en-AU"/>
        </w:rPr>
        <w:t>Variation</w:t>
      </w:r>
    </w:p>
    <w:p w14:paraId="73ABBFB4" w14:textId="77777777" w:rsidR="00B901A1" w:rsidRPr="001A695A" w:rsidRDefault="00B901A1" w:rsidP="00BE3661">
      <w:pPr>
        <w:widowControl/>
        <w:rPr>
          <w:b/>
        </w:rPr>
      </w:pPr>
    </w:p>
    <w:p w14:paraId="536A004F" w14:textId="3CC91317" w:rsidR="00D37454" w:rsidRDefault="004A4D29" w:rsidP="00532609">
      <w:r>
        <w:t xml:space="preserve">Item [1] amends Standard 1.5.2 by replacing the reference </w:t>
      </w:r>
      <w:r w:rsidR="00682966" w:rsidRPr="004A4D29">
        <w:rPr>
          <w:szCs w:val="22"/>
        </w:rPr>
        <w:t xml:space="preserve">to </w:t>
      </w:r>
      <w:r w:rsidR="00682966">
        <w:rPr>
          <w:szCs w:val="22"/>
        </w:rPr>
        <w:t>‘</w:t>
      </w:r>
      <w:r w:rsidR="00682966" w:rsidRPr="00EF76F4">
        <w:t>subsections S26—3(2) and (3)</w:t>
      </w:r>
      <w:r w:rsidR="00682966">
        <w:t>’</w:t>
      </w:r>
      <w:r w:rsidR="00682966">
        <w:rPr>
          <w:szCs w:val="22"/>
        </w:rPr>
        <w:t xml:space="preserve"> </w:t>
      </w:r>
      <w:r>
        <w:t xml:space="preserve">in </w:t>
      </w:r>
      <w:r w:rsidRPr="001D325E">
        <w:rPr>
          <w:szCs w:val="22"/>
        </w:rPr>
        <w:t>subparagraph 1.5.2—4(1</w:t>
      </w:r>
      <w:proofErr w:type="gramStart"/>
      <w:r w:rsidRPr="001D325E">
        <w:rPr>
          <w:szCs w:val="22"/>
        </w:rPr>
        <w:t>)(</w:t>
      </w:r>
      <w:proofErr w:type="gramEnd"/>
      <w:r w:rsidRPr="001D325E">
        <w:rPr>
          <w:szCs w:val="22"/>
        </w:rPr>
        <w:t>a)(ii)</w:t>
      </w:r>
      <w:r>
        <w:rPr>
          <w:szCs w:val="22"/>
        </w:rPr>
        <w:t xml:space="preserve"> </w:t>
      </w:r>
      <w:r w:rsidR="00D37454">
        <w:rPr>
          <w:szCs w:val="22"/>
        </w:rPr>
        <w:t xml:space="preserve">with a reference to </w:t>
      </w:r>
      <w:r w:rsidR="005C4BB6">
        <w:rPr>
          <w:szCs w:val="22"/>
        </w:rPr>
        <w:t>‘</w:t>
      </w:r>
      <w:r w:rsidR="00D37454">
        <w:rPr>
          <w:szCs w:val="22"/>
        </w:rPr>
        <w:t xml:space="preserve">section </w:t>
      </w:r>
      <w:r w:rsidR="00D37454" w:rsidRPr="00FE1A8D">
        <w:t>S26—3</w:t>
      </w:r>
      <w:r w:rsidR="00D37454">
        <w:t>.</w:t>
      </w:r>
      <w:r w:rsidR="005C4BB6">
        <w:t>’</w:t>
      </w:r>
      <w:r w:rsidR="00D37454">
        <w:t xml:space="preserve"> This is a consequential amendment required as a result of the </w:t>
      </w:r>
      <w:r w:rsidR="00D37454" w:rsidRPr="001E0CD5">
        <w:rPr>
          <w:color w:val="000000" w:themeColor="text1"/>
          <w:lang w:val="en-AU"/>
        </w:rPr>
        <w:t xml:space="preserve">variation </w:t>
      </w:r>
      <w:r w:rsidR="00D37454">
        <w:t>proposed by Item [2.1] below.</w:t>
      </w:r>
    </w:p>
    <w:p w14:paraId="1B419C7B" w14:textId="77777777" w:rsidR="00D37454" w:rsidRDefault="00D37454" w:rsidP="00532609"/>
    <w:p w14:paraId="0E23B6E1" w14:textId="7A03B562" w:rsidR="00D37454" w:rsidRDefault="00D37454" w:rsidP="00532609">
      <w:r>
        <w:t>Item [2] amends Schedule 26</w:t>
      </w:r>
      <w:r w:rsidR="005C4BB6">
        <w:t>.</w:t>
      </w:r>
    </w:p>
    <w:p w14:paraId="06910F2B" w14:textId="77777777" w:rsidR="00D37454" w:rsidRDefault="00D37454" w:rsidP="00532609"/>
    <w:p w14:paraId="65D4679E" w14:textId="09ADE163" w:rsidR="00532609" w:rsidRPr="002F3FB5" w:rsidRDefault="00532609" w:rsidP="00532609">
      <w:pPr>
        <w:rPr>
          <w:color w:val="000000" w:themeColor="text1"/>
        </w:rPr>
      </w:pPr>
      <w:r w:rsidRPr="004A4D29">
        <w:rPr>
          <w:szCs w:val="22"/>
        </w:rPr>
        <w:t>Item [</w:t>
      </w:r>
      <w:r w:rsidR="00D37454">
        <w:rPr>
          <w:szCs w:val="22"/>
        </w:rPr>
        <w:t>2</w:t>
      </w:r>
      <w:r w:rsidRPr="004A4D29">
        <w:rPr>
          <w:szCs w:val="22"/>
        </w:rPr>
        <w:t xml:space="preserve">.1] inserts </w:t>
      </w:r>
      <w:r w:rsidR="0005046F" w:rsidRPr="004A4D29">
        <w:rPr>
          <w:color w:val="000000" w:themeColor="text1"/>
          <w:szCs w:val="22"/>
        </w:rPr>
        <w:t xml:space="preserve">new </w:t>
      </w:r>
      <w:r w:rsidRPr="004A4D29">
        <w:rPr>
          <w:color w:val="000000" w:themeColor="text1"/>
          <w:szCs w:val="22"/>
        </w:rPr>
        <w:t xml:space="preserve">subsection </w:t>
      </w:r>
      <w:r w:rsidRPr="004A4D29">
        <w:rPr>
          <w:szCs w:val="22"/>
        </w:rPr>
        <w:t>S26—3(2</w:t>
      </w:r>
      <w:r w:rsidR="0005046F">
        <w:t>A</w:t>
      </w:r>
      <w:r>
        <w:t xml:space="preserve">) </w:t>
      </w:r>
      <w:r w:rsidR="0005046F">
        <w:t>into Schedule 26. The new subsection</w:t>
      </w:r>
      <w:r>
        <w:t xml:space="preserve"> </w:t>
      </w:r>
      <w:r w:rsidR="0005046F">
        <w:t>will provide food derived from</w:t>
      </w:r>
      <w:r>
        <w:t xml:space="preserve"> </w:t>
      </w:r>
      <w:r w:rsidR="00FA0C53">
        <w:t xml:space="preserve">provitamin A </w:t>
      </w:r>
      <w:r>
        <w:rPr>
          <w:color w:val="000000" w:themeColor="text1"/>
        </w:rPr>
        <w:t xml:space="preserve">rice line </w:t>
      </w:r>
      <w:r w:rsidRPr="00FC75C2">
        <w:rPr>
          <w:color w:val="000000" w:themeColor="text1"/>
        </w:rPr>
        <w:t>GR2E</w:t>
      </w:r>
      <w:r>
        <w:rPr>
          <w:color w:val="000000" w:themeColor="text1"/>
        </w:rPr>
        <w:t xml:space="preserve"> </w:t>
      </w:r>
      <w:r w:rsidR="0005046F">
        <w:rPr>
          <w:color w:val="000000" w:themeColor="text1"/>
        </w:rPr>
        <w:t>that</w:t>
      </w:r>
      <w:r>
        <w:rPr>
          <w:color w:val="000000" w:themeColor="text1"/>
        </w:rPr>
        <w:t xml:space="preserve"> contains beta-carotene</w:t>
      </w:r>
      <w:r w:rsidR="0005046F">
        <w:rPr>
          <w:color w:val="000000" w:themeColor="text1"/>
        </w:rPr>
        <w:t xml:space="preserve"> </w:t>
      </w:r>
      <w:r w:rsidR="001D325E">
        <w:rPr>
          <w:color w:val="000000" w:themeColor="text1"/>
        </w:rPr>
        <w:t xml:space="preserve">as a result of the genetic modification </w:t>
      </w:r>
      <w:r w:rsidR="0005046F">
        <w:rPr>
          <w:color w:val="000000" w:themeColor="text1"/>
        </w:rPr>
        <w:t>must</w:t>
      </w:r>
      <w:r>
        <w:rPr>
          <w:color w:val="000000" w:themeColor="text1"/>
        </w:rPr>
        <w:t xml:space="preserve"> comply with the labelling requirement imposed by section 1.5.2</w:t>
      </w:r>
      <w:r w:rsidRPr="000E34EA">
        <w:t>—</w:t>
      </w:r>
      <w:r>
        <w:t>4 of the Code.</w:t>
      </w:r>
    </w:p>
    <w:p w14:paraId="2097FE3A" w14:textId="77777777" w:rsidR="00532609" w:rsidRPr="001A695A" w:rsidRDefault="00532609" w:rsidP="00532609">
      <w:pPr>
        <w:rPr>
          <w:b/>
        </w:rPr>
      </w:pPr>
    </w:p>
    <w:p w14:paraId="0200CB25" w14:textId="49675B28" w:rsidR="00532609" w:rsidRDefault="004D1C7D" w:rsidP="00532609">
      <w:pPr>
        <w:widowControl/>
        <w:rPr>
          <w:color w:val="000000" w:themeColor="text1"/>
        </w:rPr>
      </w:pPr>
      <w:r w:rsidRPr="004A4D29">
        <w:rPr>
          <w:szCs w:val="22"/>
        </w:rPr>
        <w:lastRenderedPageBreak/>
        <w:t>Item [</w:t>
      </w:r>
      <w:r>
        <w:rPr>
          <w:szCs w:val="22"/>
        </w:rPr>
        <w:t>2</w:t>
      </w:r>
      <w:r w:rsidRPr="004A4D29">
        <w:rPr>
          <w:szCs w:val="22"/>
        </w:rPr>
        <w:t>.</w:t>
      </w:r>
      <w:r>
        <w:rPr>
          <w:szCs w:val="22"/>
        </w:rPr>
        <w:t>2</w:t>
      </w:r>
      <w:r w:rsidRPr="004A4D29">
        <w:rPr>
          <w:szCs w:val="22"/>
        </w:rPr>
        <w:t xml:space="preserve">] inserts </w:t>
      </w:r>
      <w:r>
        <w:rPr>
          <w:szCs w:val="22"/>
        </w:rPr>
        <w:t xml:space="preserve">new paragraph (b) into Item 6 in the table to </w:t>
      </w:r>
      <w:r w:rsidRPr="00DA1ABB">
        <w:t>subsection S26—3(4)</w:t>
      </w:r>
      <w:r>
        <w:t xml:space="preserve">. </w:t>
      </w:r>
      <w:r w:rsidR="003B0724">
        <w:rPr>
          <w:szCs w:val="22"/>
        </w:rPr>
        <w:t>Paragraph (b) refers to ‘</w:t>
      </w:r>
      <w:r w:rsidR="003B0724">
        <w:t xml:space="preserve">provitamin </w:t>
      </w:r>
      <w:proofErr w:type="gramStart"/>
      <w:r w:rsidR="003B0724">
        <w:t>A</w:t>
      </w:r>
      <w:proofErr w:type="gramEnd"/>
      <w:r w:rsidR="003B0724">
        <w:t xml:space="preserve"> </w:t>
      </w:r>
      <w:r w:rsidR="003B0724">
        <w:rPr>
          <w:color w:val="000000" w:themeColor="text1"/>
        </w:rPr>
        <w:t>rice line GR2E</w:t>
      </w:r>
      <w:r w:rsidR="003B0724">
        <w:t xml:space="preserve">’. </w:t>
      </w:r>
      <w:r>
        <w:t xml:space="preserve">This </w:t>
      </w:r>
      <w:r w:rsidR="003B0724">
        <w:t xml:space="preserve">amendment will </w:t>
      </w:r>
      <w:r>
        <w:t xml:space="preserve">permit </w:t>
      </w:r>
      <w:r w:rsidRPr="001E0CD5">
        <w:rPr>
          <w:color w:val="000000" w:themeColor="text1"/>
          <w:lang w:eastAsia="en-GB"/>
        </w:rPr>
        <w:t xml:space="preserve">the sale, or use in food, </w:t>
      </w:r>
      <w:r>
        <w:rPr>
          <w:color w:val="000000" w:themeColor="text1"/>
          <w:lang w:eastAsia="en-GB"/>
        </w:rPr>
        <w:t xml:space="preserve">of food derived from </w:t>
      </w:r>
      <w:r w:rsidRPr="003B0724">
        <w:t xml:space="preserve">provitamin </w:t>
      </w:r>
      <w:proofErr w:type="gramStart"/>
      <w:r w:rsidRPr="003B0724">
        <w:t>A</w:t>
      </w:r>
      <w:proofErr w:type="gramEnd"/>
      <w:r w:rsidRPr="003B0724">
        <w:t xml:space="preserve"> </w:t>
      </w:r>
      <w:r w:rsidRPr="003B0724">
        <w:rPr>
          <w:color w:val="000000" w:themeColor="text1"/>
        </w:rPr>
        <w:t>rice line GR2E</w:t>
      </w:r>
      <w:r>
        <w:rPr>
          <w:color w:val="000000" w:themeColor="text1"/>
        </w:rPr>
        <w:t>.</w:t>
      </w:r>
    </w:p>
    <w:p w14:paraId="03E5E2B7" w14:textId="6A58A590" w:rsidR="007C174F" w:rsidRPr="00841B43" w:rsidRDefault="007C174F" w:rsidP="00532609">
      <w:pPr>
        <w:widowControl/>
        <w:rPr>
          <w:color w:val="000000" w:themeColor="text1"/>
        </w:rPr>
      </w:pPr>
    </w:p>
    <w:sectPr w:rsidR="007C174F" w:rsidRPr="00841B43" w:rsidSect="00CC36E7">
      <w:pgSz w:w="11906" w:h="16838"/>
      <w:pgMar w:top="1418" w:right="1418" w:bottom="1134"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4971F2" w15:done="0"/>
  <w15:commentEx w15:paraId="20C0B88B" w15:done="0"/>
  <w15:commentEx w15:paraId="03837E39" w15:done="0"/>
  <w15:commentEx w15:paraId="11D7FAD1" w15:done="0"/>
  <w15:commentEx w15:paraId="5DBA163A" w15:done="0"/>
  <w15:commentEx w15:paraId="327C23C9" w15:done="0"/>
  <w15:commentEx w15:paraId="2C5ADA8D" w15:done="0"/>
  <w15:commentEx w15:paraId="60C5086B" w15:done="0"/>
  <w15:commentEx w15:paraId="77FEBEF2" w15:done="0"/>
  <w15:commentEx w15:paraId="421BC376" w15:done="0"/>
  <w15:commentEx w15:paraId="66D6A297" w15:done="0"/>
  <w15:commentEx w15:paraId="647B51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77BDF" w14:textId="77777777" w:rsidR="00210D55" w:rsidRDefault="00210D55">
      <w:r>
        <w:separator/>
      </w:r>
    </w:p>
  </w:endnote>
  <w:endnote w:type="continuationSeparator" w:id="0">
    <w:p w14:paraId="330AAB0A" w14:textId="77777777" w:rsidR="00210D55" w:rsidRDefault="00210D55">
      <w:r>
        <w:continuationSeparator/>
      </w:r>
    </w:p>
  </w:endnote>
  <w:endnote w:type="continuationNotice" w:id="1">
    <w:p w14:paraId="158175CB" w14:textId="77777777" w:rsidR="00210D55" w:rsidRDefault="00210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harterBT-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5EF8F" w14:textId="77777777" w:rsidR="00204E8E" w:rsidRDefault="00204E8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4194A" w14:textId="77777777" w:rsidR="00204E8E" w:rsidRDefault="00204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A71AA" w14:textId="26944AEA" w:rsidR="00204E8E" w:rsidRDefault="00204E8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7280">
      <w:rPr>
        <w:rStyle w:val="PageNumber"/>
        <w:noProof/>
      </w:rPr>
      <w:t>i</w:t>
    </w:r>
    <w:r>
      <w:rPr>
        <w:rStyle w:val="PageNumber"/>
      </w:rPr>
      <w:fldChar w:fldCharType="end"/>
    </w:r>
  </w:p>
  <w:p w14:paraId="0D474D7E" w14:textId="77777777" w:rsidR="00204E8E" w:rsidRDefault="00204E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27859" w14:textId="77777777" w:rsidR="00210D55" w:rsidRDefault="00210D55">
      <w:r>
        <w:separator/>
      </w:r>
    </w:p>
  </w:footnote>
  <w:footnote w:type="continuationSeparator" w:id="0">
    <w:p w14:paraId="36F9010C" w14:textId="77777777" w:rsidR="00210D55" w:rsidRDefault="00210D55">
      <w:r>
        <w:continuationSeparator/>
      </w:r>
    </w:p>
  </w:footnote>
  <w:footnote w:type="continuationNotice" w:id="1">
    <w:p w14:paraId="58F93C54" w14:textId="77777777" w:rsidR="00210D55" w:rsidRDefault="00210D55"/>
  </w:footnote>
  <w:footnote w:id="2">
    <w:p w14:paraId="76821981" w14:textId="77777777" w:rsidR="00204E8E" w:rsidRPr="00820535" w:rsidRDefault="00204E8E">
      <w:pPr>
        <w:pStyle w:val="FootnoteText"/>
        <w:rPr>
          <w:sz w:val="18"/>
          <w:szCs w:val="18"/>
          <w:lang w:val="en-AU"/>
        </w:rPr>
      </w:pPr>
      <w:r w:rsidRPr="00820535">
        <w:rPr>
          <w:rStyle w:val="FootnoteReference"/>
          <w:sz w:val="18"/>
          <w:szCs w:val="18"/>
        </w:rPr>
        <w:footnoteRef/>
      </w:r>
      <w:r w:rsidRPr="00820535">
        <w:rPr>
          <w:sz w:val="18"/>
          <w:szCs w:val="18"/>
        </w:rPr>
        <w:t xml:space="preserve"> </w:t>
      </w:r>
      <w:hyperlink r:id="rId1" w:history="1">
        <w:r w:rsidRPr="005B7418">
          <w:rPr>
            <w:rStyle w:val="Hyperlink"/>
            <w:sz w:val="18"/>
            <w:szCs w:val="18"/>
            <w:lang w:val="en-AU"/>
          </w:rPr>
          <w:t>http://www.foodstandards.gov.au/code/applications/Pages/A1138GMriceGR2E.aspx</w:t>
        </w:r>
      </w:hyperlink>
      <w:r>
        <w:rPr>
          <w:color w:val="000000" w:themeColor="text1"/>
          <w:sz w:val="18"/>
          <w:szCs w:val="18"/>
          <w:lang w:val="en-AU"/>
        </w:rPr>
        <w:t xml:space="preserve"> </w:t>
      </w:r>
    </w:p>
  </w:footnote>
  <w:footnote w:id="3">
    <w:p w14:paraId="10C8FC6C" w14:textId="0D1BEAD8" w:rsidR="00204E8E" w:rsidRPr="00EE2C83" w:rsidRDefault="00204E8E">
      <w:pPr>
        <w:pStyle w:val="FootnoteText"/>
        <w:rPr>
          <w:lang w:val="en-AU"/>
        </w:rPr>
      </w:pPr>
      <w:r>
        <w:rPr>
          <w:rStyle w:val="FootnoteReference"/>
        </w:rPr>
        <w:footnoteRef/>
      </w:r>
      <w:r>
        <w:t xml:space="preserve"> </w:t>
      </w:r>
      <w:r>
        <w:rPr>
          <w:lang w:val="en-AU"/>
        </w:rPr>
        <w:t xml:space="preserve">Milled or white rice is rice that has had the embryo and </w:t>
      </w:r>
      <w:proofErr w:type="gramStart"/>
      <w:r>
        <w:rPr>
          <w:lang w:val="en-AU"/>
        </w:rPr>
        <w:t>outer seed layers removed, and therefore consists</w:t>
      </w:r>
      <w:proofErr w:type="gramEnd"/>
      <w:r>
        <w:rPr>
          <w:lang w:val="en-AU"/>
        </w:rPr>
        <w:t xml:space="preserve"> only of the starchy storage tissue known as the endosperm.</w:t>
      </w:r>
    </w:p>
  </w:footnote>
  <w:footnote w:id="4">
    <w:p w14:paraId="52128DC7" w14:textId="26A29CF6" w:rsidR="00204E8E" w:rsidRPr="00A837A6" w:rsidRDefault="00204E8E">
      <w:pPr>
        <w:pStyle w:val="FootnoteText"/>
        <w:rPr>
          <w:lang w:val="en-AU"/>
        </w:rPr>
      </w:pPr>
      <w:r>
        <w:rPr>
          <w:rStyle w:val="FootnoteReference"/>
        </w:rPr>
        <w:footnoteRef/>
      </w:r>
      <w:r>
        <w:t xml:space="preserve"> </w:t>
      </w:r>
      <w:r>
        <w:rPr>
          <w:lang w:val="en-AU"/>
        </w:rPr>
        <w:t xml:space="preserve">Noting that the inclusion of rice bran and rice bran oil in the modelling is highly conservative as it is unlikely </w:t>
      </w:r>
      <w:r>
        <w:rPr>
          <w:rFonts w:cs="Arial"/>
          <w:lang w:val="en-AU"/>
        </w:rPr>
        <w:t>β</w:t>
      </w:r>
      <w:r>
        <w:rPr>
          <w:lang w:val="en-AU"/>
        </w:rPr>
        <w:t xml:space="preserve">-carotene would be present in these GR2E products. </w:t>
      </w:r>
    </w:p>
  </w:footnote>
  <w:footnote w:id="5">
    <w:p w14:paraId="7B6762EA" w14:textId="546C1AD2" w:rsidR="00204E8E" w:rsidRPr="00C30187" w:rsidRDefault="00204E8E">
      <w:pPr>
        <w:pStyle w:val="FootnoteText"/>
        <w:rPr>
          <w:lang w:val="en-AU"/>
        </w:rPr>
      </w:pPr>
      <w:r>
        <w:rPr>
          <w:rStyle w:val="FootnoteReference"/>
        </w:rPr>
        <w:footnoteRef/>
      </w:r>
      <w:r>
        <w:t xml:space="preserve"> </w:t>
      </w:r>
      <w:r>
        <w:rPr>
          <w:lang w:val="en-AU"/>
        </w:rPr>
        <w:t xml:space="preserve">For an explanation of retinol equivalents see </w:t>
      </w:r>
      <w:hyperlink r:id="rId2" w:history="1">
        <w:r w:rsidRPr="00FE18A7">
          <w:rPr>
            <w:rStyle w:val="Hyperlink"/>
            <w:lang w:val="en-AU"/>
          </w:rPr>
          <w:t>https://www.nrv.gov.au/nutrients/vitamin-a</w:t>
        </w:r>
      </w:hyperlink>
      <w:r>
        <w:rPr>
          <w:lang w:val="en-AU"/>
        </w:rPr>
        <w:t xml:space="preserve"> </w:t>
      </w:r>
    </w:p>
  </w:footnote>
  <w:footnote w:id="6">
    <w:p w14:paraId="78195FCC" w14:textId="77777777" w:rsidR="00204E8E" w:rsidRPr="009549B7" w:rsidRDefault="00204E8E" w:rsidP="00296480">
      <w:pPr>
        <w:pStyle w:val="FootnoteText"/>
        <w:rPr>
          <w:szCs w:val="18"/>
          <w:lang w:val="en-AU"/>
        </w:rPr>
      </w:pPr>
      <w:r w:rsidRPr="003A21BA">
        <w:rPr>
          <w:rStyle w:val="FootnoteReference"/>
          <w:sz w:val="18"/>
        </w:rPr>
        <w:footnoteRef/>
      </w:r>
      <w:r w:rsidRPr="003A21BA">
        <w:rPr>
          <w:sz w:val="18"/>
        </w:rPr>
        <w:t xml:space="preserve"> </w:t>
      </w:r>
      <w:r w:rsidRPr="003A21BA">
        <w:rPr>
          <w:sz w:val="18"/>
          <w:szCs w:val="18"/>
          <w:lang w:val="en-AU"/>
        </w:rPr>
        <w:t>Now known as the Implementation Subcommittee for Food Regulation</w:t>
      </w:r>
    </w:p>
  </w:footnote>
  <w:footnote w:id="7">
    <w:p w14:paraId="007D1192" w14:textId="77777777" w:rsidR="00204E8E" w:rsidRPr="00296480" w:rsidRDefault="00204E8E">
      <w:pPr>
        <w:pStyle w:val="FootnoteText"/>
        <w:rPr>
          <w:lang w:val="en-AU"/>
        </w:rPr>
      </w:pPr>
      <w:r>
        <w:rPr>
          <w:rStyle w:val="FootnoteReference"/>
        </w:rPr>
        <w:footnoteRef/>
      </w:r>
      <w:r>
        <w:t xml:space="preserve"> </w:t>
      </w:r>
      <w:r>
        <w:rPr>
          <w:lang w:val="en-AU"/>
        </w:rPr>
        <w:t xml:space="preserve">JRC method for detection of GR2E - </w:t>
      </w:r>
      <w:hyperlink r:id="rId3" w:history="1">
        <w:r w:rsidRPr="005B7418">
          <w:rPr>
            <w:rStyle w:val="Hyperlink"/>
            <w:lang w:val="en-AU"/>
          </w:rPr>
          <w:t>http://gmo-crl.jrc.ec.europa.eu/gmomethods/entry?db=gmometh&amp;id=qt-eve-os-001&amp;q=id%3aQT-eve-OS*</w:t>
        </w:r>
      </w:hyperlink>
      <w:r>
        <w:rPr>
          <w:lang w:val="en-AU"/>
        </w:rPr>
        <w:t xml:space="preserve"> </w:t>
      </w:r>
    </w:p>
  </w:footnote>
  <w:footnote w:id="8">
    <w:p w14:paraId="33449C08" w14:textId="29028A7F" w:rsidR="00204E8E" w:rsidRPr="004C2ED6" w:rsidRDefault="00204E8E">
      <w:pPr>
        <w:pStyle w:val="FootnoteText"/>
        <w:rPr>
          <w:lang w:val="en-AU"/>
        </w:rPr>
      </w:pPr>
      <w:r>
        <w:rPr>
          <w:rStyle w:val="FootnoteReference"/>
        </w:rPr>
        <w:footnoteRef/>
      </w:r>
      <w:r>
        <w:t xml:space="preserve"> </w:t>
      </w:r>
      <w:r>
        <w:rPr>
          <w:lang w:val="en-AU"/>
        </w:rPr>
        <w:t xml:space="preserve">Ricepedia: the online authority on rice </w:t>
      </w:r>
      <w:hyperlink r:id="rId4" w:history="1">
        <w:r w:rsidRPr="00B76BED">
          <w:rPr>
            <w:rStyle w:val="Hyperlink"/>
            <w:lang w:val="en-AU"/>
          </w:rPr>
          <w:t>http://ricepedia.org/australia</w:t>
        </w:r>
      </w:hyperlink>
      <w:r>
        <w:rPr>
          <w:lang w:val="en-AU"/>
        </w:rPr>
        <w:t xml:space="preserve"> </w:t>
      </w:r>
    </w:p>
  </w:footnote>
  <w:footnote w:id="9">
    <w:p w14:paraId="5917B646" w14:textId="77777777" w:rsidR="00204E8E" w:rsidRPr="00E70572" w:rsidRDefault="00204E8E" w:rsidP="003F4AF2">
      <w:pPr>
        <w:pStyle w:val="FootnoteText"/>
        <w:rPr>
          <w:lang w:val="en-AU"/>
        </w:rPr>
      </w:pPr>
      <w:r>
        <w:rPr>
          <w:rStyle w:val="FootnoteReference"/>
        </w:rPr>
        <w:footnoteRef/>
      </w:r>
      <w:r>
        <w:t xml:space="preserve"> </w:t>
      </w:r>
      <w:hyperlink r:id="rId5" w:history="1">
        <w:r w:rsidRPr="00696CEE">
          <w:rPr>
            <w:rStyle w:val="Hyperlink"/>
          </w:rPr>
          <w:t>http://www.foodstandards.gov.au/code/changes/pages/applicationshandbook.aspx</w:t>
        </w:r>
      </w:hyperlink>
      <w:r>
        <w:t xml:space="preserve"> </w:t>
      </w:r>
    </w:p>
  </w:footnote>
  <w:footnote w:id="10">
    <w:p w14:paraId="5702DB84" w14:textId="2682FC64" w:rsidR="00204E8E" w:rsidRPr="00612E38" w:rsidRDefault="00204E8E">
      <w:pPr>
        <w:pStyle w:val="FootnoteText"/>
      </w:pPr>
      <w:r w:rsidRPr="00927F0E">
        <w:rPr>
          <w:rStyle w:val="FootnoteReference"/>
          <w:sz w:val="18"/>
          <w:szCs w:val="18"/>
        </w:rPr>
        <w:footnoteRef/>
      </w:r>
      <w:hyperlink r:id="rId6" w:history="1">
        <w:r w:rsidRPr="00204E8E">
          <w:rPr>
            <w:color w:val="0000FF"/>
            <w:u w:val="single"/>
          </w:rPr>
          <w:t>http://foodregulation.gov.au/internet/fr/publishing.nsf/Content/24E85FF75806731ACA257FE300077FA7/$File/12-2003-FRSC-Consultation%20Paper-Fortification%20Food%20supply%20with%20Vitamins%20Minerals.docx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3DFE3" w14:textId="77777777" w:rsidR="00204E8E" w:rsidRDefault="00204E8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33651"/>
    <w:multiLevelType w:val="hybridMultilevel"/>
    <w:tmpl w:val="1A7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0" w:firstLine="0"/>
      </w:pPr>
      <w:rPr>
        <w:rFont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7951CD"/>
    <w:multiLevelType w:val="hybridMultilevel"/>
    <w:tmpl w:val="B5A89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3A1FEC"/>
    <w:multiLevelType w:val="hybridMultilevel"/>
    <w:tmpl w:val="AFB8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nsid w:val="76684575"/>
    <w:multiLevelType w:val="hybridMultilevel"/>
    <w:tmpl w:val="DE8A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8"/>
  </w:num>
  <w:num w:numId="9">
    <w:abstractNumId w:val="4"/>
  </w:num>
  <w:num w:numId="10">
    <w:abstractNumId w:val="6"/>
  </w:num>
  <w:num w:numId="11">
    <w:abstractNumId w:val="10"/>
  </w:num>
  <w:num w:numId="12">
    <w:abstractNumId w:val="3"/>
  </w:num>
  <w:num w:numId="13">
    <w:abstractNumId w:val="14"/>
  </w:num>
  <w:num w:numId="14">
    <w:abstractNumId w:val="2"/>
  </w:num>
  <w:num w:numId="15">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zer, Lisa">
    <w15:presenceInfo w15:providerId="None" w15:userId="Katzer, 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GM database2&lt;/item&gt;&lt;/Libraries&gt;&lt;/ENLibraries&gt;"/>
  </w:docVars>
  <w:rsids>
    <w:rsidRoot w:val="005F7342"/>
    <w:rsid w:val="00001CF2"/>
    <w:rsid w:val="0000247B"/>
    <w:rsid w:val="00004274"/>
    <w:rsid w:val="0000469B"/>
    <w:rsid w:val="00010ECC"/>
    <w:rsid w:val="0001259D"/>
    <w:rsid w:val="00016CB6"/>
    <w:rsid w:val="00022DBC"/>
    <w:rsid w:val="000274A8"/>
    <w:rsid w:val="000310FF"/>
    <w:rsid w:val="00034825"/>
    <w:rsid w:val="00034F87"/>
    <w:rsid w:val="00035AE3"/>
    <w:rsid w:val="00035FF3"/>
    <w:rsid w:val="000427B2"/>
    <w:rsid w:val="0005033D"/>
    <w:rsid w:val="0005046F"/>
    <w:rsid w:val="00051021"/>
    <w:rsid w:val="000511ED"/>
    <w:rsid w:val="0005166D"/>
    <w:rsid w:val="00051ED9"/>
    <w:rsid w:val="000564DE"/>
    <w:rsid w:val="00057181"/>
    <w:rsid w:val="000611DE"/>
    <w:rsid w:val="00064B2D"/>
    <w:rsid w:val="00065F1F"/>
    <w:rsid w:val="0007054C"/>
    <w:rsid w:val="00071661"/>
    <w:rsid w:val="000735FD"/>
    <w:rsid w:val="000737BC"/>
    <w:rsid w:val="0007466A"/>
    <w:rsid w:val="00076D33"/>
    <w:rsid w:val="000778D6"/>
    <w:rsid w:val="000803AE"/>
    <w:rsid w:val="00085FAD"/>
    <w:rsid w:val="0008764F"/>
    <w:rsid w:val="000877DD"/>
    <w:rsid w:val="000903D7"/>
    <w:rsid w:val="00091CC2"/>
    <w:rsid w:val="000936BC"/>
    <w:rsid w:val="000942F7"/>
    <w:rsid w:val="000A27E9"/>
    <w:rsid w:val="000A3D8B"/>
    <w:rsid w:val="000A5DF8"/>
    <w:rsid w:val="000A7CEA"/>
    <w:rsid w:val="000B1365"/>
    <w:rsid w:val="000B3B90"/>
    <w:rsid w:val="000B6AF2"/>
    <w:rsid w:val="000B6BD7"/>
    <w:rsid w:val="000C3946"/>
    <w:rsid w:val="000C412C"/>
    <w:rsid w:val="000C4AE8"/>
    <w:rsid w:val="000C5EF9"/>
    <w:rsid w:val="000D28E2"/>
    <w:rsid w:val="000D295F"/>
    <w:rsid w:val="000D37CF"/>
    <w:rsid w:val="000D6FD4"/>
    <w:rsid w:val="000E0AE4"/>
    <w:rsid w:val="000E3DBC"/>
    <w:rsid w:val="000E6BAE"/>
    <w:rsid w:val="000F13EB"/>
    <w:rsid w:val="000F6255"/>
    <w:rsid w:val="000F68CB"/>
    <w:rsid w:val="0010027E"/>
    <w:rsid w:val="001020B7"/>
    <w:rsid w:val="00102F53"/>
    <w:rsid w:val="00103A6E"/>
    <w:rsid w:val="00105101"/>
    <w:rsid w:val="00105E7C"/>
    <w:rsid w:val="00110F71"/>
    <w:rsid w:val="00113BC6"/>
    <w:rsid w:val="00113CE3"/>
    <w:rsid w:val="0011647A"/>
    <w:rsid w:val="00117522"/>
    <w:rsid w:val="00122021"/>
    <w:rsid w:val="00123B23"/>
    <w:rsid w:val="00126C0F"/>
    <w:rsid w:val="00130EA3"/>
    <w:rsid w:val="00131B15"/>
    <w:rsid w:val="00131B75"/>
    <w:rsid w:val="0013538A"/>
    <w:rsid w:val="00151550"/>
    <w:rsid w:val="0015330D"/>
    <w:rsid w:val="001542D8"/>
    <w:rsid w:val="00155C8B"/>
    <w:rsid w:val="00177742"/>
    <w:rsid w:val="0017795F"/>
    <w:rsid w:val="00180C41"/>
    <w:rsid w:val="00182C4C"/>
    <w:rsid w:val="00186BD1"/>
    <w:rsid w:val="00187B8F"/>
    <w:rsid w:val="00195254"/>
    <w:rsid w:val="00197D8D"/>
    <w:rsid w:val="001A1A75"/>
    <w:rsid w:val="001A311E"/>
    <w:rsid w:val="001A4055"/>
    <w:rsid w:val="001A43EB"/>
    <w:rsid w:val="001A5B2A"/>
    <w:rsid w:val="001A7E9A"/>
    <w:rsid w:val="001B25E2"/>
    <w:rsid w:val="001B5ED3"/>
    <w:rsid w:val="001C163D"/>
    <w:rsid w:val="001C27A3"/>
    <w:rsid w:val="001C282C"/>
    <w:rsid w:val="001C3D2F"/>
    <w:rsid w:val="001C4C96"/>
    <w:rsid w:val="001C5295"/>
    <w:rsid w:val="001C6206"/>
    <w:rsid w:val="001D00F0"/>
    <w:rsid w:val="001D21A5"/>
    <w:rsid w:val="001D325E"/>
    <w:rsid w:val="001D5463"/>
    <w:rsid w:val="001E09FA"/>
    <w:rsid w:val="001E19BB"/>
    <w:rsid w:val="001F0566"/>
    <w:rsid w:val="001F5B9C"/>
    <w:rsid w:val="001F6652"/>
    <w:rsid w:val="001F6947"/>
    <w:rsid w:val="001F6DAD"/>
    <w:rsid w:val="001F719F"/>
    <w:rsid w:val="001F74B2"/>
    <w:rsid w:val="00202CE8"/>
    <w:rsid w:val="00203540"/>
    <w:rsid w:val="00204E8E"/>
    <w:rsid w:val="00210D55"/>
    <w:rsid w:val="00217416"/>
    <w:rsid w:val="00220969"/>
    <w:rsid w:val="002219AD"/>
    <w:rsid w:val="00221D07"/>
    <w:rsid w:val="00221DE5"/>
    <w:rsid w:val="002223F4"/>
    <w:rsid w:val="00223CC4"/>
    <w:rsid w:val="00227E4A"/>
    <w:rsid w:val="002302FC"/>
    <w:rsid w:val="00235705"/>
    <w:rsid w:val="0023797D"/>
    <w:rsid w:val="00240A6E"/>
    <w:rsid w:val="002432EE"/>
    <w:rsid w:val="00243BF4"/>
    <w:rsid w:val="0024582E"/>
    <w:rsid w:val="002547EF"/>
    <w:rsid w:val="00256149"/>
    <w:rsid w:val="00256D65"/>
    <w:rsid w:val="00264D01"/>
    <w:rsid w:val="00267EE9"/>
    <w:rsid w:val="00271F00"/>
    <w:rsid w:val="00273A80"/>
    <w:rsid w:val="0027513D"/>
    <w:rsid w:val="00275182"/>
    <w:rsid w:val="00276026"/>
    <w:rsid w:val="002768F7"/>
    <w:rsid w:val="002851C8"/>
    <w:rsid w:val="002869B3"/>
    <w:rsid w:val="00287CC8"/>
    <w:rsid w:val="00290289"/>
    <w:rsid w:val="0029099A"/>
    <w:rsid w:val="0029204E"/>
    <w:rsid w:val="00294BAD"/>
    <w:rsid w:val="0029631C"/>
    <w:rsid w:val="00296480"/>
    <w:rsid w:val="002A0194"/>
    <w:rsid w:val="002A2241"/>
    <w:rsid w:val="002A4176"/>
    <w:rsid w:val="002A4CF1"/>
    <w:rsid w:val="002A5F8B"/>
    <w:rsid w:val="002A7F6C"/>
    <w:rsid w:val="002A7F86"/>
    <w:rsid w:val="002B0D8E"/>
    <w:rsid w:val="002B4F64"/>
    <w:rsid w:val="002C4A91"/>
    <w:rsid w:val="002C6342"/>
    <w:rsid w:val="002D2088"/>
    <w:rsid w:val="002D4FE7"/>
    <w:rsid w:val="002D6809"/>
    <w:rsid w:val="002D7C5D"/>
    <w:rsid w:val="002E086A"/>
    <w:rsid w:val="002E49B5"/>
    <w:rsid w:val="002E7B14"/>
    <w:rsid w:val="002F52BD"/>
    <w:rsid w:val="002F6488"/>
    <w:rsid w:val="0030279C"/>
    <w:rsid w:val="003032EA"/>
    <w:rsid w:val="00306A1A"/>
    <w:rsid w:val="00306A83"/>
    <w:rsid w:val="00310E84"/>
    <w:rsid w:val="00313B91"/>
    <w:rsid w:val="00315A71"/>
    <w:rsid w:val="00320C97"/>
    <w:rsid w:val="003213F9"/>
    <w:rsid w:val="00323DBF"/>
    <w:rsid w:val="003268C3"/>
    <w:rsid w:val="003309A8"/>
    <w:rsid w:val="00331E1D"/>
    <w:rsid w:val="003327BE"/>
    <w:rsid w:val="00332B12"/>
    <w:rsid w:val="0033470E"/>
    <w:rsid w:val="00336711"/>
    <w:rsid w:val="003459F4"/>
    <w:rsid w:val="00346B3B"/>
    <w:rsid w:val="00347935"/>
    <w:rsid w:val="00350D2A"/>
    <w:rsid w:val="00350DBD"/>
    <w:rsid w:val="00351927"/>
    <w:rsid w:val="00351B07"/>
    <w:rsid w:val="00355269"/>
    <w:rsid w:val="00361119"/>
    <w:rsid w:val="0036268A"/>
    <w:rsid w:val="00363189"/>
    <w:rsid w:val="00364841"/>
    <w:rsid w:val="00370445"/>
    <w:rsid w:val="00371B29"/>
    <w:rsid w:val="00372182"/>
    <w:rsid w:val="0037520F"/>
    <w:rsid w:val="00381C7A"/>
    <w:rsid w:val="00391769"/>
    <w:rsid w:val="00394693"/>
    <w:rsid w:val="003953E1"/>
    <w:rsid w:val="003956B3"/>
    <w:rsid w:val="00395A82"/>
    <w:rsid w:val="0039649C"/>
    <w:rsid w:val="003A12C1"/>
    <w:rsid w:val="003A68BE"/>
    <w:rsid w:val="003A7725"/>
    <w:rsid w:val="003B0724"/>
    <w:rsid w:val="003B3C9D"/>
    <w:rsid w:val="003B78E0"/>
    <w:rsid w:val="003C488A"/>
    <w:rsid w:val="003C4969"/>
    <w:rsid w:val="003C7612"/>
    <w:rsid w:val="003D0B85"/>
    <w:rsid w:val="003D223B"/>
    <w:rsid w:val="003D2928"/>
    <w:rsid w:val="003D5835"/>
    <w:rsid w:val="003E41D5"/>
    <w:rsid w:val="003E42AF"/>
    <w:rsid w:val="003E46BA"/>
    <w:rsid w:val="003E7D22"/>
    <w:rsid w:val="003F4AF2"/>
    <w:rsid w:val="003F74C1"/>
    <w:rsid w:val="0040107E"/>
    <w:rsid w:val="00404002"/>
    <w:rsid w:val="00404A7E"/>
    <w:rsid w:val="00405B1A"/>
    <w:rsid w:val="00407241"/>
    <w:rsid w:val="0040761E"/>
    <w:rsid w:val="00407DF4"/>
    <w:rsid w:val="00410C76"/>
    <w:rsid w:val="00411907"/>
    <w:rsid w:val="004123F3"/>
    <w:rsid w:val="00413CA8"/>
    <w:rsid w:val="00417EE3"/>
    <w:rsid w:val="004207EB"/>
    <w:rsid w:val="004273C3"/>
    <w:rsid w:val="00430529"/>
    <w:rsid w:val="0043187F"/>
    <w:rsid w:val="00433546"/>
    <w:rsid w:val="00435FA5"/>
    <w:rsid w:val="00436B8D"/>
    <w:rsid w:val="00437276"/>
    <w:rsid w:val="00447E67"/>
    <w:rsid w:val="00450539"/>
    <w:rsid w:val="0045189D"/>
    <w:rsid w:val="004543CD"/>
    <w:rsid w:val="0045556F"/>
    <w:rsid w:val="00456B54"/>
    <w:rsid w:val="00464643"/>
    <w:rsid w:val="004646F8"/>
    <w:rsid w:val="00467C15"/>
    <w:rsid w:val="004749C9"/>
    <w:rsid w:val="00483556"/>
    <w:rsid w:val="004851D3"/>
    <w:rsid w:val="00486793"/>
    <w:rsid w:val="004928B3"/>
    <w:rsid w:val="0049729B"/>
    <w:rsid w:val="004A0331"/>
    <w:rsid w:val="004A10F3"/>
    <w:rsid w:val="004A1339"/>
    <w:rsid w:val="004A2037"/>
    <w:rsid w:val="004A3685"/>
    <w:rsid w:val="004A4D29"/>
    <w:rsid w:val="004A51E6"/>
    <w:rsid w:val="004B055B"/>
    <w:rsid w:val="004B10AC"/>
    <w:rsid w:val="004B49BE"/>
    <w:rsid w:val="004B5438"/>
    <w:rsid w:val="004C1891"/>
    <w:rsid w:val="004C2CE7"/>
    <w:rsid w:val="004C2ED6"/>
    <w:rsid w:val="004C67F5"/>
    <w:rsid w:val="004D155D"/>
    <w:rsid w:val="004D1C7D"/>
    <w:rsid w:val="004D30A6"/>
    <w:rsid w:val="004D52B8"/>
    <w:rsid w:val="004D5755"/>
    <w:rsid w:val="004D60BB"/>
    <w:rsid w:val="004D6BBF"/>
    <w:rsid w:val="004E1581"/>
    <w:rsid w:val="004E42C8"/>
    <w:rsid w:val="004E45DE"/>
    <w:rsid w:val="004E4AC9"/>
    <w:rsid w:val="004F1730"/>
    <w:rsid w:val="004F4F98"/>
    <w:rsid w:val="004F69F6"/>
    <w:rsid w:val="004F7516"/>
    <w:rsid w:val="004F79AC"/>
    <w:rsid w:val="0050126A"/>
    <w:rsid w:val="005017CF"/>
    <w:rsid w:val="00505D2B"/>
    <w:rsid w:val="00512290"/>
    <w:rsid w:val="00512608"/>
    <w:rsid w:val="005207D8"/>
    <w:rsid w:val="00521F70"/>
    <w:rsid w:val="00522743"/>
    <w:rsid w:val="0052649E"/>
    <w:rsid w:val="00532609"/>
    <w:rsid w:val="0053354E"/>
    <w:rsid w:val="0053464E"/>
    <w:rsid w:val="005358B0"/>
    <w:rsid w:val="0053743C"/>
    <w:rsid w:val="00540EC7"/>
    <w:rsid w:val="005410C6"/>
    <w:rsid w:val="00553969"/>
    <w:rsid w:val="0055452B"/>
    <w:rsid w:val="00562917"/>
    <w:rsid w:val="00564F44"/>
    <w:rsid w:val="005665D6"/>
    <w:rsid w:val="0056708F"/>
    <w:rsid w:val="00573CEE"/>
    <w:rsid w:val="0058094B"/>
    <w:rsid w:val="00586228"/>
    <w:rsid w:val="005908F7"/>
    <w:rsid w:val="0059227F"/>
    <w:rsid w:val="005932C8"/>
    <w:rsid w:val="0059498B"/>
    <w:rsid w:val="00596012"/>
    <w:rsid w:val="00596E53"/>
    <w:rsid w:val="00597357"/>
    <w:rsid w:val="005A1975"/>
    <w:rsid w:val="005A3A03"/>
    <w:rsid w:val="005A52E1"/>
    <w:rsid w:val="005A5D42"/>
    <w:rsid w:val="005B01E7"/>
    <w:rsid w:val="005B0F65"/>
    <w:rsid w:val="005B615C"/>
    <w:rsid w:val="005B6AF4"/>
    <w:rsid w:val="005C04CB"/>
    <w:rsid w:val="005C06EF"/>
    <w:rsid w:val="005C3633"/>
    <w:rsid w:val="005C3886"/>
    <w:rsid w:val="005C4019"/>
    <w:rsid w:val="005C4BB6"/>
    <w:rsid w:val="005C71BA"/>
    <w:rsid w:val="005D16AD"/>
    <w:rsid w:val="005D22A7"/>
    <w:rsid w:val="005D5DC3"/>
    <w:rsid w:val="005D72E1"/>
    <w:rsid w:val="005E2F53"/>
    <w:rsid w:val="005E3060"/>
    <w:rsid w:val="005E3648"/>
    <w:rsid w:val="005E4F2D"/>
    <w:rsid w:val="005E5B98"/>
    <w:rsid w:val="005E6E16"/>
    <w:rsid w:val="005E770E"/>
    <w:rsid w:val="005F0629"/>
    <w:rsid w:val="005F1C52"/>
    <w:rsid w:val="005F400E"/>
    <w:rsid w:val="005F7342"/>
    <w:rsid w:val="00603A08"/>
    <w:rsid w:val="006066BC"/>
    <w:rsid w:val="00606C88"/>
    <w:rsid w:val="00610A3C"/>
    <w:rsid w:val="00612E38"/>
    <w:rsid w:val="0061471C"/>
    <w:rsid w:val="00616712"/>
    <w:rsid w:val="00617B74"/>
    <w:rsid w:val="006211CD"/>
    <w:rsid w:val="00621E71"/>
    <w:rsid w:val="00627F48"/>
    <w:rsid w:val="0063130B"/>
    <w:rsid w:val="00633ACA"/>
    <w:rsid w:val="00634200"/>
    <w:rsid w:val="006342E0"/>
    <w:rsid w:val="006404EF"/>
    <w:rsid w:val="00642A47"/>
    <w:rsid w:val="00644A22"/>
    <w:rsid w:val="00645B5F"/>
    <w:rsid w:val="00645FD6"/>
    <w:rsid w:val="00646FDD"/>
    <w:rsid w:val="00653D83"/>
    <w:rsid w:val="00655293"/>
    <w:rsid w:val="00660704"/>
    <w:rsid w:val="00662BFC"/>
    <w:rsid w:val="00663FCF"/>
    <w:rsid w:val="006652A2"/>
    <w:rsid w:val="00671FBF"/>
    <w:rsid w:val="00680798"/>
    <w:rsid w:val="00681463"/>
    <w:rsid w:val="00681754"/>
    <w:rsid w:val="00681D53"/>
    <w:rsid w:val="00681D69"/>
    <w:rsid w:val="00682966"/>
    <w:rsid w:val="00683D57"/>
    <w:rsid w:val="00683E69"/>
    <w:rsid w:val="00685269"/>
    <w:rsid w:val="006937FF"/>
    <w:rsid w:val="00694C35"/>
    <w:rsid w:val="006965BF"/>
    <w:rsid w:val="00696C31"/>
    <w:rsid w:val="00697AC2"/>
    <w:rsid w:val="006A48A7"/>
    <w:rsid w:val="006A6AB4"/>
    <w:rsid w:val="006B4BA1"/>
    <w:rsid w:val="006B5691"/>
    <w:rsid w:val="006C28E2"/>
    <w:rsid w:val="006C5CF5"/>
    <w:rsid w:val="006D2D5C"/>
    <w:rsid w:val="006D757E"/>
    <w:rsid w:val="006E0253"/>
    <w:rsid w:val="006E4272"/>
    <w:rsid w:val="006E527D"/>
    <w:rsid w:val="006E5E7D"/>
    <w:rsid w:val="006E6E0C"/>
    <w:rsid w:val="006E7B40"/>
    <w:rsid w:val="006F079E"/>
    <w:rsid w:val="006F17A0"/>
    <w:rsid w:val="006F2E2E"/>
    <w:rsid w:val="006F41F2"/>
    <w:rsid w:val="006F4A82"/>
    <w:rsid w:val="006F6443"/>
    <w:rsid w:val="00700239"/>
    <w:rsid w:val="007008DD"/>
    <w:rsid w:val="0070373B"/>
    <w:rsid w:val="0070460F"/>
    <w:rsid w:val="007059F5"/>
    <w:rsid w:val="00707E72"/>
    <w:rsid w:val="007113EB"/>
    <w:rsid w:val="00711DC6"/>
    <w:rsid w:val="00713D73"/>
    <w:rsid w:val="0071799B"/>
    <w:rsid w:val="00720B3A"/>
    <w:rsid w:val="0072150F"/>
    <w:rsid w:val="00722F1E"/>
    <w:rsid w:val="00724FA4"/>
    <w:rsid w:val="00726C2F"/>
    <w:rsid w:val="00726EEC"/>
    <w:rsid w:val="0072718E"/>
    <w:rsid w:val="00730800"/>
    <w:rsid w:val="007338D0"/>
    <w:rsid w:val="00733B1F"/>
    <w:rsid w:val="00735E3E"/>
    <w:rsid w:val="007368AB"/>
    <w:rsid w:val="00737902"/>
    <w:rsid w:val="00741EFE"/>
    <w:rsid w:val="0074427A"/>
    <w:rsid w:val="00745C71"/>
    <w:rsid w:val="0075554A"/>
    <w:rsid w:val="007559B7"/>
    <w:rsid w:val="007602AA"/>
    <w:rsid w:val="00763FE0"/>
    <w:rsid w:val="007652EF"/>
    <w:rsid w:val="00772BDC"/>
    <w:rsid w:val="00773033"/>
    <w:rsid w:val="00780792"/>
    <w:rsid w:val="00780C2E"/>
    <w:rsid w:val="00785555"/>
    <w:rsid w:val="00790A44"/>
    <w:rsid w:val="00793252"/>
    <w:rsid w:val="007934AF"/>
    <w:rsid w:val="00794AB4"/>
    <w:rsid w:val="007A16CB"/>
    <w:rsid w:val="007A44B4"/>
    <w:rsid w:val="007A716B"/>
    <w:rsid w:val="007A7D3D"/>
    <w:rsid w:val="007B0B05"/>
    <w:rsid w:val="007B20F2"/>
    <w:rsid w:val="007B225D"/>
    <w:rsid w:val="007B2756"/>
    <w:rsid w:val="007B40A8"/>
    <w:rsid w:val="007B5F2E"/>
    <w:rsid w:val="007B7193"/>
    <w:rsid w:val="007B79B6"/>
    <w:rsid w:val="007C174F"/>
    <w:rsid w:val="007C1C64"/>
    <w:rsid w:val="007C54DD"/>
    <w:rsid w:val="007D40A1"/>
    <w:rsid w:val="007E072D"/>
    <w:rsid w:val="007E48BC"/>
    <w:rsid w:val="007E5DCF"/>
    <w:rsid w:val="007E79F7"/>
    <w:rsid w:val="007F3630"/>
    <w:rsid w:val="007F5745"/>
    <w:rsid w:val="007F70E1"/>
    <w:rsid w:val="0080000E"/>
    <w:rsid w:val="008041AD"/>
    <w:rsid w:val="00805759"/>
    <w:rsid w:val="00806160"/>
    <w:rsid w:val="00807559"/>
    <w:rsid w:val="00820535"/>
    <w:rsid w:val="00831D92"/>
    <w:rsid w:val="00841B43"/>
    <w:rsid w:val="0084221C"/>
    <w:rsid w:val="008450BC"/>
    <w:rsid w:val="00846B53"/>
    <w:rsid w:val="00850459"/>
    <w:rsid w:val="00851A60"/>
    <w:rsid w:val="008524A0"/>
    <w:rsid w:val="00852CE3"/>
    <w:rsid w:val="0085334B"/>
    <w:rsid w:val="00854F78"/>
    <w:rsid w:val="00867603"/>
    <w:rsid w:val="00867B23"/>
    <w:rsid w:val="00870214"/>
    <w:rsid w:val="008712A9"/>
    <w:rsid w:val="008716A1"/>
    <w:rsid w:val="00876515"/>
    <w:rsid w:val="008827F0"/>
    <w:rsid w:val="008828D9"/>
    <w:rsid w:val="00885C51"/>
    <w:rsid w:val="00885EB0"/>
    <w:rsid w:val="00891E07"/>
    <w:rsid w:val="0089264A"/>
    <w:rsid w:val="00896B85"/>
    <w:rsid w:val="00897554"/>
    <w:rsid w:val="008A22BE"/>
    <w:rsid w:val="008A2B10"/>
    <w:rsid w:val="008A3221"/>
    <w:rsid w:val="008A35FB"/>
    <w:rsid w:val="008A746E"/>
    <w:rsid w:val="008B0075"/>
    <w:rsid w:val="008B5567"/>
    <w:rsid w:val="008B57A5"/>
    <w:rsid w:val="008B6747"/>
    <w:rsid w:val="008C055A"/>
    <w:rsid w:val="008C0E7A"/>
    <w:rsid w:val="008C1B36"/>
    <w:rsid w:val="008C6C92"/>
    <w:rsid w:val="008D06C6"/>
    <w:rsid w:val="008D44B3"/>
    <w:rsid w:val="008D7BAE"/>
    <w:rsid w:val="008E0836"/>
    <w:rsid w:val="008E3064"/>
    <w:rsid w:val="008E33C4"/>
    <w:rsid w:val="008E3D30"/>
    <w:rsid w:val="008E6250"/>
    <w:rsid w:val="008F211A"/>
    <w:rsid w:val="008F29DB"/>
    <w:rsid w:val="008F2F44"/>
    <w:rsid w:val="008F598F"/>
    <w:rsid w:val="00901EF6"/>
    <w:rsid w:val="00902AF6"/>
    <w:rsid w:val="0090470F"/>
    <w:rsid w:val="00906944"/>
    <w:rsid w:val="00907D2E"/>
    <w:rsid w:val="009100BF"/>
    <w:rsid w:val="00914030"/>
    <w:rsid w:val="009158C2"/>
    <w:rsid w:val="00920249"/>
    <w:rsid w:val="0092070F"/>
    <w:rsid w:val="009244C2"/>
    <w:rsid w:val="00924C80"/>
    <w:rsid w:val="0092760A"/>
    <w:rsid w:val="00927F0E"/>
    <w:rsid w:val="00932F14"/>
    <w:rsid w:val="00934FED"/>
    <w:rsid w:val="0094247F"/>
    <w:rsid w:val="00942D60"/>
    <w:rsid w:val="009434AA"/>
    <w:rsid w:val="00944BA4"/>
    <w:rsid w:val="0094607E"/>
    <w:rsid w:val="00951802"/>
    <w:rsid w:val="00951E69"/>
    <w:rsid w:val="00951F91"/>
    <w:rsid w:val="0095382E"/>
    <w:rsid w:val="00956B68"/>
    <w:rsid w:val="00956C35"/>
    <w:rsid w:val="009618AB"/>
    <w:rsid w:val="00964B9F"/>
    <w:rsid w:val="0096523B"/>
    <w:rsid w:val="00966EE3"/>
    <w:rsid w:val="00972D06"/>
    <w:rsid w:val="0098234A"/>
    <w:rsid w:val="009928BD"/>
    <w:rsid w:val="00995835"/>
    <w:rsid w:val="00995A48"/>
    <w:rsid w:val="009A391C"/>
    <w:rsid w:val="009A50F2"/>
    <w:rsid w:val="009A72B5"/>
    <w:rsid w:val="009B187A"/>
    <w:rsid w:val="009B593E"/>
    <w:rsid w:val="009B67D3"/>
    <w:rsid w:val="009C122E"/>
    <w:rsid w:val="009C3333"/>
    <w:rsid w:val="009C4322"/>
    <w:rsid w:val="009C4D45"/>
    <w:rsid w:val="009C59AA"/>
    <w:rsid w:val="009D0115"/>
    <w:rsid w:val="009D090F"/>
    <w:rsid w:val="009D0D8C"/>
    <w:rsid w:val="009D2BDF"/>
    <w:rsid w:val="009D790B"/>
    <w:rsid w:val="009E0A61"/>
    <w:rsid w:val="009E3010"/>
    <w:rsid w:val="009F007E"/>
    <w:rsid w:val="009F1BCF"/>
    <w:rsid w:val="009F6276"/>
    <w:rsid w:val="009F7065"/>
    <w:rsid w:val="009F71DB"/>
    <w:rsid w:val="00A12B44"/>
    <w:rsid w:val="00A17FEF"/>
    <w:rsid w:val="00A22C0B"/>
    <w:rsid w:val="00A23C5C"/>
    <w:rsid w:val="00A40193"/>
    <w:rsid w:val="00A409AA"/>
    <w:rsid w:val="00A4175D"/>
    <w:rsid w:val="00A54934"/>
    <w:rsid w:val="00A56DC7"/>
    <w:rsid w:val="00A56E34"/>
    <w:rsid w:val="00A627AC"/>
    <w:rsid w:val="00A658F1"/>
    <w:rsid w:val="00A67413"/>
    <w:rsid w:val="00A7067D"/>
    <w:rsid w:val="00A71C13"/>
    <w:rsid w:val="00A74FD1"/>
    <w:rsid w:val="00A7619E"/>
    <w:rsid w:val="00A80FB1"/>
    <w:rsid w:val="00A837A6"/>
    <w:rsid w:val="00A841C7"/>
    <w:rsid w:val="00A84A58"/>
    <w:rsid w:val="00A91DF1"/>
    <w:rsid w:val="00AA0286"/>
    <w:rsid w:val="00AA69F5"/>
    <w:rsid w:val="00AB0275"/>
    <w:rsid w:val="00AB20E4"/>
    <w:rsid w:val="00AB7C86"/>
    <w:rsid w:val="00AC19E1"/>
    <w:rsid w:val="00AC2350"/>
    <w:rsid w:val="00AC51A9"/>
    <w:rsid w:val="00AC6B49"/>
    <w:rsid w:val="00AC7270"/>
    <w:rsid w:val="00AC74CB"/>
    <w:rsid w:val="00AD015A"/>
    <w:rsid w:val="00AD10C4"/>
    <w:rsid w:val="00AD22F9"/>
    <w:rsid w:val="00AD6376"/>
    <w:rsid w:val="00AD6AD1"/>
    <w:rsid w:val="00AD7A3D"/>
    <w:rsid w:val="00AE4E6E"/>
    <w:rsid w:val="00AE687D"/>
    <w:rsid w:val="00AE766D"/>
    <w:rsid w:val="00AF06FC"/>
    <w:rsid w:val="00AF3391"/>
    <w:rsid w:val="00AF387F"/>
    <w:rsid w:val="00AF4EC1"/>
    <w:rsid w:val="00AF602C"/>
    <w:rsid w:val="00AF6371"/>
    <w:rsid w:val="00B00AFE"/>
    <w:rsid w:val="00B00E7F"/>
    <w:rsid w:val="00B04E2F"/>
    <w:rsid w:val="00B07673"/>
    <w:rsid w:val="00B160A9"/>
    <w:rsid w:val="00B173DA"/>
    <w:rsid w:val="00B21DCC"/>
    <w:rsid w:val="00B22F05"/>
    <w:rsid w:val="00B2461D"/>
    <w:rsid w:val="00B25F37"/>
    <w:rsid w:val="00B402AA"/>
    <w:rsid w:val="00B43E73"/>
    <w:rsid w:val="00B4401E"/>
    <w:rsid w:val="00B44422"/>
    <w:rsid w:val="00B46CFE"/>
    <w:rsid w:val="00B46EA0"/>
    <w:rsid w:val="00B51E03"/>
    <w:rsid w:val="00B54E57"/>
    <w:rsid w:val="00B62BD6"/>
    <w:rsid w:val="00B65710"/>
    <w:rsid w:val="00B70011"/>
    <w:rsid w:val="00B70752"/>
    <w:rsid w:val="00B71F51"/>
    <w:rsid w:val="00B731D3"/>
    <w:rsid w:val="00B75BF1"/>
    <w:rsid w:val="00B806C2"/>
    <w:rsid w:val="00B839A3"/>
    <w:rsid w:val="00B853D2"/>
    <w:rsid w:val="00B85EDE"/>
    <w:rsid w:val="00B901A1"/>
    <w:rsid w:val="00B902BD"/>
    <w:rsid w:val="00B91BBB"/>
    <w:rsid w:val="00B924AB"/>
    <w:rsid w:val="00B94DE3"/>
    <w:rsid w:val="00B9694C"/>
    <w:rsid w:val="00BA24E2"/>
    <w:rsid w:val="00BB0219"/>
    <w:rsid w:val="00BB030C"/>
    <w:rsid w:val="00BB5930"/>
    <w:rsid w:val="00BC262B"/>
    <w:rsid w:val="00BD17A6"/>
    <w:rsid w:val="00BD2A39"/>
    <w:rsid w:val="00BD2E80"/>
    <w:rsid w:val="00BE11B8"/>
    <w:rsid w:val="00BE29B0"/>
    <w:rsid w:val="00BE2B67"/>
    <w:rsid w:val="00BE3661"/>
    <w:rsid w:val="00BE3818"/>
    <w:rsid w:val="00BE58D5"/>
    <w:rsid w:val="00BE7DB0"/>
    <w:rsid w:val="00BF700E"/>
    <w:rsid w:val="00BF7FF0"/>
    <w:rsid w:val="00C12502"/>
    <w:rsid w:val="00C1266C"/>
    <w:rsid w:val="00C14FD2"/>
    <w:rsid w:val="00C159E3"/>
    <w:rsid w:val="00C1746C"/>
    <w:rsid w:val="00C17493"/>
    <w:rsid w:val="00C21EE9"/>
    <w:rsid w:val="00C268C1"/>
    <w:rsid w:val="00C30187"/>
    <w:rsid w:val="00C30648"/>
    <w:rsid w:val="00C31838"/>
    <w:rsid w:val="00C332CC"/>
    <w:rsid w:val="00C36578"/>
    <w:rsid w:val="00C40AA5"/>
    <w:rsid w:val="00C42AEE"/>
    <w:rsid w:val="00C46F70"/>
    <w:rsid w:val="00C476D0"/>
    <w:rsid w:val="00C50C1C"/>
    <w:rsid w:val="00C55F02"/>
    <w:rsid w:val="00C56DA7"/>
    <w:rsid w:val="00C56F71"/>
    <w:rsid w:val="00C56FFC"/>
    <w:rsid w:val="00C612C0"/>
    <w:rsid w:val="00C63580"/>
    <w:rsid w:val="00C63D51"/>
    <w:rsid w:val="00C652C2"/>
    <w:rsid w:val="00C65C6D"/>
    <w:rsid w:val="00C66D99"/>
    <w:rsid w:val="00C7570C"/>
    <w:rsid w:val="00C83073"/>
    <w:rsid w:val="00C836E3"/>
    <w:rsid w:val="00C84A91"/>
    <w:rsid w:val="00C86577"/>
    <w:rsid w:val="00C9185C"/>
    <w:rsid w:val="00C92E07"/>
    <w:rsid w:val="00C94942"/>
    <w:rsid w:val="00C95A55"/>
    <w:rsid w:val="00C9605C"/>
    <w:rsid w:val="00C96868"/>
    <w:rsid w:val="00C96A50"/>
    <w:rsid w:val="00CA0416"/>
    <w:rsid w:val="00CA3C65"/>
    <w:rsid w:val="00CA7F35"/>
    <w:rsid w:val="00CB1375"/>
    <w:rsid w:val="00CB2DF9"/>
    <w:rsid w:val="00CB3FB7"/>
    <w:rsid w:val="00CC36E7"/>
    <w:rsid w:val="00CC560B"/>
    <w:rsid w:val="00CC75E2"/>
    <w:rsid w:val="00CD46EB"/>
    <w:rsid w:val="00CD7EBF"/>
    <w:rsid w:val="00CE0AEB"/>
    <w:rsid w:val="00CE172D"/>
    <w:rsid w:val="00CE25C8"/>
    <w:rsid w:val="00CF4AF4"/>
    <w:rsid w:val="00D01F56"/>
    <w:rsid w:val="00D0288D"/>
    <w:rsid w:val="00D04529"/>
    <w:rsid w:val="00D056F1"/>
    <w:rsid w:val="00D06103"/>
    <w:rsid w:val="00D062E4"/>
    <w:rsid w:val="00D11171"/>
    <w:rsid w:val="00D132FA"/>
    <w:rsid w:val="00D13408"/>
    <w:rsid w:val="00D14405"/>
    <w:rsid w:val="00D1444D"/>
    <w:rsid w:val="00D16AA3"/>
    <w:rsid w:val="00D175B0"/>
    <w:rsid w:val="00D2071E"/>
    <w:rsid w:val="00D209C9"/>
    <w:rsid w:val="00D22F3C"/>
    <w:rsid w:val="00D23DB6"/>
    <w:rsid w:val="00D26814"/>
    <w:rsid w:val="00D3171B"/>
    <w:rsid w:val="00D33E6D"/>
    <w:rsid w:val="00D33F56"/>
    <w:rsid w:val="00D34144"/>
    <w:rsid w:val="00D354EB"/>
    <w:rsid w:val="00D37454"/>
    <w:rsid w:val="00D40C13"/>
    <w:rsid w:val="00D43FE6"/>
    <w:rsid w:val="00D452EA"/>
    <w:rsid w:val="00D45BC8"/>
    <w:rsid w:val="00D46A7B"/>
    <w:rsid w:val="00D4717F"/>
    <w:rsid w:val="00D51A95"/>
    <w:rsid w:val="00D546D3"/>
    <w:rsid w:val="00D5506C"/>
    <w:rsid w:val="00D60568"/>
    <w:rsid w:val="00D62C59"/>
    <w:rsid w:val="00D676CF"/>
    <w:rsid w:val="00D703EB"/>
    <w:rsid w:val="00D70C7A"/>
    <w:rsid w:val="00D73931"/>
    <w:rsid w:val="00D81D38"/>
    <w:rsid w:val="00D8470F"/>
    <w:rsid w:val="00D8471A"/>
    <w:rsid w:val="00D9020F"/>
    <w:rsid w:val="00D93E96"/>
    <w:rsid w:val="00DA10A8"/>
    <w:rsid w:val="00DA28FE"/>
    <w:rsid w:val="00DA3F56"/>
    <w:rsid w:val="00DA531C"/>
    <w:rsid w:val="00DB1E08"/>
    <w:rsid w:val="00DB23C0"/>
    <w:rsid w:val="00DB2973"/>
    <w:rsid w:val="00DB324A"/>
    <w:rsid w:val="00DB3753"/>
    <w:rsid w:val="00DB7A08"/>
    <w:rsid w:val="00DC1B56"/>
    <w:rsid w:val="00DC2129"/>
    <w:rsid w:val="00DC3C72"/>
    <w:rsid w:val="00DC5033"/>
    <w:rsid w:val="00DC5835"/>
    <w:rsid w:val="00DC6570"/>
    <w:rsid w:val="00DC7757"/>
    <w:rsid w:val="00DD09DF"/>
    <w:rsid w:val="00DD23F9"/>
    <w:rsid w:val="00DD3C5E"/>
    <w:rsid w:val="00DD4E38"/>
    <w:rsid w:val="00DE4B31"/>
    <w:rsid w:val="00DE79D9"/>
    <w:rsid w:val="00DF25C3"/>
    <w:rsid w:val="00DF7F25"/>
    <w:rsid w:val="00E01E1A"/>
    <w:rsid w:val="00E037CA"/>
    <w:rsid w:val="00E03893"/>
    <w:rsid w:val="00E04062"/>
    <w:rsid w:val="00E047C5"/>
    <w:rsid w:val="00E05A1C"/>
    <w:rsid w:val="00E063C6"/>
    <w:rsid w:val="00E13BC7"/>
    <w:rsid w:val="00E17535"/>
    <w:rsid w:val="00E17B72"/>
    <w:rsid w:val="00E2003B"/>
    <w:rsid w:val="00E203C2"/>
    <w:rsid w:val="00E20A75"/>
    <w:rsid w:val="00E212DC"/>
    <w:rsid w:val="00E24DE8"/>
    <w:rsid w:val="00E276E5"/>
    <w:rsid w:val="00E279D8"/>
    <w:rsid w:val="00E30617"/>
    <w:rsid w:val="00E319B1"/>
    <w:rsid w:val="00E323CA"/>
    <w:rsid w:val="00E34356"/>
    <w:rsid w:val="00E3601E"/>
    <w:rsid w:val="00E37481"/>
    <w:rsid w:val="00E40ECD"/>
    <w:rsid w:val="00E40ED4"/>
    <w:rsid w:val="00E41F90"/>
    <w:rsid w:val="00E42A4C"/>
    <w:rsid w:val="00E42AE8"/>
    <w:rsid w:val="00E44E0D"/>
    <w:rsid w:val="00E45FA6"/>
    <w:rsid w:val="00E46B6A"/>
    <w:rsid w:val="00E507BD"/>
    <w:rsid w:val="00E50998"/>
    <w:rsid w:val="00E520FE"/>
    <w:rsid w:val="00E53B81"/>
    <w:rsid w:val="00E5420E"/>
    <w:rsid w:val="00E5492F"/>
    <w:rsid w:val="00E5675D"/>
    <w:rsid w:val="00E60FA3"/>
    <w:rsid w:val="00E62DEF"/>
    <w:rsid w:val="00E70A86"/>
    <w:rsid w:val="00E72650"/>
    <w:rsid w:val="00E75054"/>
    <w:rsid w:val="00E751D6"/>
    <w:rsid w:val="00E777EC"/>
    <w:rsid w:val="00E80FCD"/>
    <w:rsid w:val="00E81F6E"/>
    <w:rsid w:val="00E85C9D"/>
    <w:rsid w:val="00E86B32"/>
    <w:rsid w:val="00E90908"/>
    <w:rsid w:val="00E96483"/>
    <w:rsid w:val="00EA15DA"/>
    <w:rsid w:val="00EA3F16"/>
    <w:rsid w:val="00EA7F2F"/>
    <w:rsid w:val="00EB0CAC"/>
    <w:rsid w:val="00EB5E5B"/>
    <w:rsid w:val="00EB6137"/>
    <w:rsid w:val="00EB739C"/>
    <w:rsid w:val="00EC00DE"/>
    <w:rsid w:val="00EC2A6E"/>
    <w:rsid w:val="00EC30E1"/>
    <w:rsid w:val="00EC48B2"/>
    <w:rsid w:val="00ED0410"/>
    <w:rsid w:val="00ED154A"/>
    <w:rsid w:val="00ED172A"/>
    <w:rsid w:val="00ED2ACA"/>
    <w:rsid w:val="00EE0A23"/>
    <w:rsid w:val="00EE2C83"/>
    <w:rsid w:val="00EF2F77"/>
    <w:rsid w:val="00EF4138"/>
    <w:rsid w:val="00F00DFF"/>
    <w:rsid w:val="00F02F41"/>
    <w:rsid w:val="00F06CCD"/>
    <w:rsid w:val="00F06DD7"/>
    <w:rsid w:val="00F0750B"/>
    <w:rsid w:val="00F11FCF"/>
    <w:rsid w:val="00F125A7"/>
    <w:rsid w:val="00F14BEC"/>
    <w:rsid w:val="00F225C5"/>
    <w:rsid w:val="00F2587A"/>
    <w:rsid w:val="00F26BF8"/>
    <w:rsid w:val="00F304B3"/>
    <w:rsid w:val="00F33BB8"/>
    <w:rsid w:val="00F367E7"/>
    <w:rsid w:val="00F3715D"/>
    <w:rsid w:val="00F414B9"/>
    <w:rsid w:val="00F420C8"/>
    <w:rsid w:val="00F42937"/>
    <w:rsid w:val="00F42A4C"/>
    <w:rsid w:val="00F44CAA"/>
    <w:rsid w:val="00F52795"/>
    <w:rsid w:val="00F53B04"/>
    <w:rsid w:val="00F5657B"/>
    <w:rsid w:val="00F57280"/>
    <w:rsid w:val="00F604DE"/>
    <w:rsid w:val="00F64134"/>
    <w:rsid w:val="00F64653"/>
    <w:rsid w:val="00F66566"/>
    <w:rsid w:val="00F72E1B"/>
    <w:rsid w:val="00F7527E"/>
    <w:rsid w:val="00F76A0A"/>
    <w:rsid w:val="00F822E4"/>
    <w:rsid w:val="00F94549"/>
    <w:rsid w:val="00F977C3"/>
    <w:rsid w:val="00FA0C53"/>
    <w:rsid w:val="00FA5C3E"/>
    <w:rsid w:val="00FB1533"/>
    <w:rsid w:val="00FB1D25"/>
    <w:rsid w:val="00FB4C11"/>
    <w:rsid w:val="00FB67A3"/>
    <w:rsid w:val="00FB6987"/>
    <w:rsid w:val="00FB7512"/>
    <w:rsid w:val="00FC75C2"/>
    <w:rsid w:val="00FD2FBE"/>
    <w:rsid w:val="00FD3DF3"/>
    <w:rsid w:val="00FD6A41"/>
    <w:rsid w:val="00FD7547"/>
    <w:rsid w:val="00FD7589"/>
    <w:rsid w:val="00FE1288"/>
    <w:rsid w:val="00FF2DF9"/>
    <w:rsid w:val="00FF3468"/>
    <w:rsid w:val="00FF5F5C"/>
    <w:rsid w:val="00FF5F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9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9"/>
    <w:lsdException w:name="toc 1" w:uiPriority="39"/>
    <w:lsdException w:name="toc 2" w:uiPriority="39"/>
    <w:lsdException w:name="toc 3" w:uiPriority="39"/>
    <w:lsdException w:name="footnote text" w:qFormat="1"/>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F5657B"/>
    <w:pPr>
      <w:spacing w:after="60"/>
    </w:pPr>
    <w:rPr>
      <w:rFonts w:cs="Arial"/>
      <w:b/>
      <w:sz w:val="20"/>
      <w:lang w:val="en"/>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paragraph" w:customStyle="1" w:styleId="FSHeading">
    <w:name w:val="FS Heading"/>
    <w:basedOn w:val="Normal"/>
    <w:link w:val="FSHeadingChar"/>
    <w:qFormat/>
    <w:rsid w:val="00867603"/>
    <w:pPr>
      <w:ind w:left="851" w:hanging="851"/>
    </w:pPr>
    <w:rPr>
      <w:rFonts w:eastAsia="Calibri"/>
      <w:b/>
      <w:szCs w:val="22"/>
      <w:lang w:bidi="ar-SA"/>
    </w:rPr>
  </w:style>
  <w:style w:type="character" w:customStyle="1" w:styleId="FSHeadingChar">
    <w:name w:val="FS Heading Char"/>
    <w:link w:val="FSHeading"/>
    <w:rsid w:val="00867603"/>
    <w:rPr>
      <w:rFonts w:ascii="Arial" w:eastAsia="Calibri" w:hAnsi="Arial"/>
      <w:b/>
      <w:sz w:val="22"/>
      <w:szCs w:val="22"/>
      <w:lang w:eastAsia="en-US"/>
    </w:rPr>
  </w:style>
  <w:style w:type="paragraph" w:styleId="ListParagraph">
    <w:name w:val="List Paragraph"/>
    <w:basedOn w:val="Normal"/>
    <w:uiPriority w:val="34"/>
    <w:rsid w:val="00AD6AD1"/>
    <w:pPr>
      <w:ind w:left="720"/>
      <w:contextualSpacing/>
    </w:pPr>
  </w:style>
  <w:style w:type="paragraph" w:styleId="PlainText">
    <w:name w:val="Plain Text"/>
    <w:basedOn w:val="Normal"/>
    <w:link w:val="PlainTextChar"/>
    <w:uiPriority w:val="99"/>
    <w:semiHidden/>
    <w:unhideWhenUsed/>
    <w:rsid w:val="007B5F2E"/>
    <w:pPr>
      <w:widowControl/>
    </w:pPr>
    <w:rPr>
      <w:rFonts w:eastAsiaTheme="minorHAnsi" w:cs="Arial"/>
      <w:szCs w:val="22"/>
      <w:lang w:val="en-NZ" w:bidi="ar-SA"/>
    </w:rPr>
  </w:style>
  <w:style w:type="character" w:customStyle="1" w:styleId="PlainTextChar">
    <w:name w:val="Plain Text Char"/>
    <w:basedOn w:val="DefaultParagraphFont"/>
    <w:link w:val="PlainText"/>
    <w:uiPriority w:val="99"/>
    <w:semiHidden/>
    <w:rsid w:val="007B5F2E"/>
    <w:rPr>
      <w:rFonts w:ascii="Arial" w:eastAsiaTheme="minorHAnsi" w:hAnsi="Arial" w:cs="Arial"/>
      <w:sz w:val="22"/>
      <w:szCs w:val="22"/>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9"/>
    <w:lsdException w:name="toc 1" w:uiPriority="39"/>
    <w:lsdException w:name="toc 2" w:uiPriority="39"/>
    <w:lsdException w:name="toc 3" w:uiPriority="39"/>
    <w:lsdException w:name="footnote text" w:qFormat="1"/>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F5657B"/>
    <w:pPr>
      <w:spacing w:after="60"/>
    </w:pPr>
    <w:rPr>
      <w:rFonts w:cs="Arial"/>
      <w:b/>
      <w:sz w:val="20"/>
      <w:lang w:val="en"/>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paragraph" w:customStyle="1" w:styleId="FSHeading">
    <w:name w:val="FS Heading"/>
    <w:basedOn w:val="Normal"/>
    <w:link w:val="FSHeadingChar"/>
    <w:qFormat/>
    <w:rsid w:val="00867603"/>
    <w:pPr>
      <w:ind w:left="851" w:hanging="851"/>
    </w:pPr>
    <w:rPr>
      <w:rFonts w:eastAsia="Calibri"/>
      <w:b/>
      <w:szCs w:val="22"/>
      <w:lang w:bidi="ar-SA"/>
    </w:rPr>
  </w:style>
  <w:style w:type="character" w:customStyle="1" w:styleId="FSHeadingChar">
    <w:name w:val="FS Heading Char"/>
    <w:link w:val="FSHeading"/>
    <w:rsid w:val="00867603"/>
    <w:rPr>
      <w:rFonts w:ascii="Arial" w:eastAsia="Calibri" w:hAnsi="Arial"/>
      <w:b/>
      <w:sz w:val="22"/>
      <w:szCs w:val="22"/>
      <w:lang w:eastAsia="en-US"/>
    </w:rPr>
  </w:style>
  <w:style w:type="paragraph" w:styleId="ListParagraph">
    <w:name w:val="List Paragraph"/>
    <w:basedOn w:val="Normal"/>
    <w:uiPriority w:val="34"/>
    <w:rsid w:val="00AD6AD1"/>
    <w:pPr>
      <w:ind w:left="720"/>
      <w:contextualSpacing/>
    </w:pPr>
  </w:style>
  <w:style w:type="paragraph" w:styleId="PlainText">
    <w:name w:val="Plain Text"/>
    <w:basedOn w:val="Normal"/>
    <w:link w:val="PlainTextChar"/>
    <w:uiPriority w:val="99"/>
    <w:semiHidden/>
    <w:unhideWhenUsed/>
    <w:rsid w:val="007B5F2E"/>
    <w:pPr>
      <w:widowControl/>
    </w:pPr>
    <w:rPr>
      <w:rFonts w:eastAsiaTheme="minorHAnsi" w:cs="Arial"/>
      <w:szCs w:val="22"/>
      <w:lang w:val="en-NZ" w:bidi="ar-SA"/>
    </w:rPr>
  </w:style>
  <w:style w:type="character" w:customStyle="1" w:styleId="PlainTextChar">
    <w:name w:val="Plain Text Char"/>
    <w:basedOn w:val="DefaultParagraphFont"/>
    <w:link w:val="PlainText"/>
    <w:uiPriority w:val="99"/>
    <w:semiHidden/>
    <w:rsid w:val="007B5F2E"/>
    <w:rPr>
      <w:rFonts w:ascii="Arial" w:eastAsiaTheme="minorHAnsi" w:hAnsi="Arial" w:cs="Arial"/>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771">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6358163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ricepedia.org/australia" TargetMode="External"/><Relationship Id="rId39" Type="http://schemas.microsoft.com/office/2011/relationships/commentsExtended" Target="commentsExtended.xml"/><Relationship Id="rId21" Type="http://schemas.openxmlformats.org/officeDocument/2006/relationships/footer" Target="footer2.xml"/><Relationship Id="rId34"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gmo-crl.jrc.ec.europa.eu/gmomethods/entry?db=gmometh&amp;id=qt-eve-os-001&amp;q=id%3aQT-eve-OS*" TargetMode="External"/><Relationship Id="rId33" Type="http://schemas.openxmlformats.org/officeDocument/2006/relationships/hyperlink" Target="http://www.foodstandards.gov.au/code/applications/pages/applicationa1060food5180.asp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hyperlink" Target="http://www.fao.org/fao-who-codexalimentarius/standards/list-of-standards/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rv.gov.au/nutrients/vitamin-a" TargetMode="External"/><Relationship Id="rId32" Type="http://schemas.openxmlformats.org/officeDocument/2006/relationships/hyperlink" Target="http://www.foodstandards.gov.au/code/applications/pages/applicationa1001food3769.aspx" TargetMode="External"/><Relationship Id="rId5" Type="http://schemas.openxmlformats.org/officeDocument/2006/relationships/customXml" Target="../customXml/item5.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applications/Pages/A1138GMriceGR2E.aspx" TargetMode="External"/><Relationship Id="rId28" Type="http://schemas.openxmlformats.org/officeDocument/2006/relationships/hyperlink" Target="http://foodregulation.gov.au/internet/fr/publishing.nsf/Content/24E85FF75806731ACA257FE300077FA7/$File/12-2003-FRSC-Consultation%20Paper-Fortification%20Food%20supply%20with%20Vitamins%20Minerals.doc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www.foodstandards.gov.au/code/applications/pages/applicationa580foodd3243.aspx" TargetMode="External"/><Relationship Id="rId35"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www.foodstandards.gov.au/code/changes/pages/applicationshandbook.aspx" TargetMode="External"/><Relationship Id="rId30" Type="http://schemas.openxmlformats.org/officeDocument/2006/relationships/hyperlink" Target="http://www.foodstandards.gov.au/code/applications/pages/applicationa564foodd2972.aspx"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gmo-crl.jrc.ec.europa.eu/gmomethods/entry?db=gmometh&amp;id=qt-eve-os-001&amp;q=id%3aQT-eve-OS*" TargetMode="External"/><Relationship Id="rId2" Type="http://schemas.openxmlformats.org/officeDocument/2006/relationships/hyperlink" Target="https://www.nrv.gov.au/nutrients/vitamin-a" TargetMode="External"/><Relationship Id="rId1" Type="http://schemas.openxmlformats.org/officeDocument/2006/relationships/hyperlink" Target="http://www.foodstandards.gov.au/code/applications/Pages/A1138GMriceGR2E.aspx" TargetMode="External"/><Relationship Id="rId6" Type="http://schemas.openxmlformats.org/officeDocument/2006/relationships/hyperlink" Target="http://foodregulation.gov.au/internet/fr/publishing.nsf/Content/24E85FF75806731ACA257FE300077FA7/$File/12-2003-FRSC-Consultation%20Paper-Fortification%20Food%20supply%20with%20Vitamins%20Minerals.docx" TargetMode="External"/><Relationship Id="rId5" Type="http://schemas.openxmlformats.org/officeDocument/2006/relationships/hyperlink" Target="http://www.foodstandards.gov.au/code/changes/pages/applicationshandbook.aspx" TargetMode="External"/><Relationship Id="rId4" Type="http://schemas.openxmlformats.org/officeDocument/2006/relationships/hyperlink" Target="http://ricepedia.org/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X3VAMR3A5FUY-552-6373</_dlc_DocId>
    <_dlc_DocIdUrl xmlns="ff5de93e-c5e8-4efc-a1bd-21450292fcfe">
      <Url>http://teams/Sections/RAP/_layouts/15/DocIdRedir.aspx?ID=X3VAMR3A5FUY-552-6373</Url>
      <Description>X3VAMR3A5FUY-552-6373</Description>
    </_dlc_DocIdUrl>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F02A97-52F3-4C56-A7E6-9411F0E5DAC3}"/>
</file>

<file path=customXml/itemProps2.xml><?xml version="1.0" encoding="utf-8"?>
<ds:datastoreItem xmlns:ds="http://schemas.openxmlformats.org/officeDocument/2006/customXml" ds:itemID="{BAF51326-F154-4290-A11F-8EF70850BBEA}"/>
</file>

<file path=customXml/itemProps3.xml><?xml version="1.0" encoding="utf-8"?>
<ds:datastoreItem xmlns:ds="http://schemas.openxmlformats.org/officeDocument/2006/customXml" ds:itemID="{7CA831FE-A48C-43B1-BF45-C37AAB671DCE}">
  <ds:schemaRefs>
    <ds:schemaRef ds:uri="http://purl.org/dc/terms/"/>
    <ds:schemaRef ds:uri="http://schemas.microsoft.com/office/2006/metadata/properties"/>
    <ds:schemaRef ds:uri="http://schemas.microsoft.com/office/2006/documentManagement/types"/>
    <ds:schemaRef ds:uri="http://purl.org/dc/elements/1.1/"/>
    <ds:schemaRef ds:uri="ff5de93e-c5e8-4efc-a1bd-21450292fcfe"/>
    <ds:schemaRef ds:uri="http://schemas.microsoft.com/office/infopath/2007/PartnerControls"/>
    <ds:schemaRef ds:uri="http://purl.org/dc/dcmitype/"/>
    <ds:schemaRef ds:uri="http://www.w3.org/XML/1998/namespace"/>
    <ds:schemaRef ds:uri="ec50576e-4a27-4780-a1e1-e59563bc70b8"/>
    <ds:schemaRef ds:uri="http://schemas.openxmlformats.org/package/2006/metadata/core-properties"/>
  </ds:schemaRefs>
</ds:datastoreItem>
</file>

<file path=customXml/itemProps4.xml><?xml version="1.0" encoding="utf-8"?>
<ds:datastoreItem xmlns:ds="http://schemas.openxmlformats.org/officeDocument/2006/customXml" ds:itemID="{BA343481-B030-4EA7-9968-1F0FF154605F}">
  <ds:schemaRefs>
    <ds:schemaRef ds:uri="Microsoft.SharePoint.Taxonomy.ContentTypeSync"/>
  </ds:schemaRefs>
</ds:datastoreItem>
</file>

<file path=customXml/itemProps5.xml><?xml version="1.0" encoding="utf-8"?>
<ds:datastoreItem xmlns:ds="http://schemas.openxmlformats.org/officeDocument/2006/customXml" ds:itemID="{79B87DAA-FFAB-4ED0-BFCA-2399AFA9E3AB}"/>
</file>

<file path=customXml/itemProps6.xml><?xml version="1.0" encoding="utf-8"?>
<ds:datastoreItem xmlns:ds="http://schemas.openxmlformats.org/officeDocument/2006/customXml" ds:itemID="{7CA831FE-A48C-43B1-BF45-C37AAB671DCE}"/>
</file>

<file path=docProps/app.xml><?xml version="1.0" encoding="utf-8"?>
<Properties xmlns="http://schemas.openxmlformats.org/officeDocument/2006/extended-properties" xmlns:vt="http://schemas.openxmlformats.org/officeDocument/2006/docPropsVTypes">
  <Template>Normal.dotm</Template>
  <TotalTime>5</TotalTime>
  <Pages>18</Pages>
  <Words>6255</Words>
  <Characters>41307</Characters>
  <Application>Microsoft Office Word</Application>
  <DocSecurity>0</DocSecurity>
  <Lines>344</Lines>
  <Paragraphs>94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47468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gorstj</dc:creator>
  <cp:lastModifiedBy>rissas</cp:lastModifiedBy>
  <cp:revision>4</cp:revision>
  <cp:lastPrinted>2017-08-02T03:14:00Z</cp:lastPrinted>
  <dcterms:created xsi:type="dcterms:W3CDTF">2017-08-02T03:09:00Z</dcterms:created>
  <dcterms:modified xsi:type="dcterms:W3CDTF">2017-08-02T03:14:00Z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2365633f-7941-4c63-96b5-af18ebe76fa3</vt:lpwstr>
  </property>
  <property fmtid="{D5CDD505-2E9C-101B-9397-08002B2CF9AE}" pid="6" name="TitusGUID">
    <vt:lpwstr>de33773e-4dec-4323-bbe5-593149e2e356</vt:lpwstr>
  </property>
</Properties>
</file>